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40"/>
        <w:jc w:val="right"/>
        <w:rPr>
          <w:sz w:val="28"/>
          <w:szCs w:val="28"/>
        </w:rPr>
      </w:pPr>
      <w:bookmarkStart w:id="0" w:name="_Hlk50673122"/>
      <w:bookmarkEnd w:id="0"/>
    </w:p>
    <w:p>
      <w:pPr>
        <w:pStyle w:val="3"/>
        <w:spacing w:line="360" w:lineRule="auto"/>
        <w:rPr>
          <w:color w:val="auto"/>
          <w:spacing w:val="20"/>
          <w:sz w:val="44"/>
          <w:szCs w:val="44"/>
        </w:rPr>
      </w:pPr>
    </w:p>
    <w:p>
      <w:pPr>
        <w:pStyle w:val="3"/>
        <w:tabs>
          <w:tab w:val="left" w:pos="5130"/>
        </w:tabs>
        <w:spacing w:line="360" w:lineRule="auto"/>
        <w:rPr>
          <w:color w:val="auto"/>
          <w:spacing w:val="20"/>
          <w:sz w:val="48"/>
          <w:szCs w:val="48"/>
        </w:rPr>
      </w:pPr>
      <w:r>
        <w:rPr>
          <w:color w:val="auto"/>
          <w:spacing w:val="20"/>
          <w:sz w:val="48"/>
          <w:szCs w:val="48"/>
        </w:rPr>
        <w:tab/>
      </w:r>
    </w:p>
    <w:p>
      <w:pPr>
        <w:jc w:val="center"/>
        <w:rPr>
          <w:sz w:val="52"/>
        </w:rPr>
      </w:pPr>
    </w:p>
    <w:p>
      <w:pPr>
        <w:jc w:val="center"/>
        <w:rPr>
          <w:sz w:val="52"/>
        </w:rPr>
      </w:pPr>
    </w:p>
    <w:p>
      <w:pPr>
        <w:jc w:val="center"/>
        <w:rPr>
          <w:rFonts w:hint="eastAsia"/>
          <w:sz w:val="52"/>
        </w:rPr>
      </w:pPr>
      <w:r>
        <w:rPr>
          <w:rFonts w:hint="eastAsia"/>
          <w:sz w:val="52"/>
        </w:rPr>
        <w:t>中昊晨光化工研究院有限公司</w:t>
      </w:r>
      <w:bookmarkStart w:id="1" w:name="_Hlk43745010"/>
    </w:p>
    <w:p>
      <w:pPr>
        <w:jc w:val="center"/>
        <w:rPr>
          <w:rFonts w:hint="eastAsia"/>
          <w:sz w:val="52"/>
        </w:rPr>
      </w:pPr>
      <w:r>
        <w:rPr>
          <w:rFonts w:hint="eastAsia"/>
          <w:sz w:val="52"/>
        </w:rPr>
        <w:t>关键材料技术自主化能力建设项目</w:t>
      </w:r>
      <w:bookmarkEnd w:id="1"/>
    </w:p>
    <w:p>
      <w:pPr>
        <w:jc w:val="center"/>
        <w:rPr>
          <w:b/>
          <w:sz w:val="72"/>
        </w:rPr>
      </w:pPr>
      <w:r>
        <w:rPr>
          <w:spacing w:val="-20"/>
          <w:sz w:val="52"/>
        </w:rPr>
        <w:t>竣工环境保护</w:t>
      </w:r>
      <w:r>
        <w:rPr>
          <w:sz w:val="52"/>
        </w:rPr>
        <w:t>验收监测报告</w:t>
      </w: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spacing w:val="24"/>
        </w:rPr>
      </w:pPr>
    </w:p>
    <w:tbl>
      <w:tblPr>
        <w:tblStyle w:val="43"/>
        <w:tblW w:w="7289" w:type="dxa"/>
        <w:tblInd w:w="1623" w:type="dxa"/>
        <w:tblLayout w:type="fixed"/>
        <w:tblCellMar>
          <w:top w:w="0" w:type="dxa"/>
          <w:left w:w="108" w:type="dxa"/>
          <w:bottom w:w="0" w:type="dxa"/>
          <w:right w:w="108" w:type="dxa"/>
        </w:tblCellMar>
      </w:tblPr>
      <w:tblGrid>
        <w:gridCol w:w="1698"/>
        <w:gridCol w:w="5591"/>
      </w:tblGrid>
      <w:tr>
        <w:tblPrEx>
          <w:tblCellMar>
            <w:top w:w="0" w:type="dxa"/>
            <w:left w:w="108" w:type="dxa"/>
            <w:bottom w:w="0" w:type="dxa"/>
            <w:right w:w="108" w:type="dxa"/>
          </w:tblCellMar>
        </w:tblPrEx>
        <w:trPr>
          <w:trHeight w:val="716" w:hRule="atLeast"/>
        </w:trPr>
        <w:tc>
          <w:tcPr>
            <w:tcW w:w="1698" w:type="dxa"/>
          </w:tcPr>
          <w:p>
            <w:pPr>
              <w:spacing w:line="360" w:lineRule="auto"/>
              <w:rPr>
                <w:b/>
                <w:snapToGrid w:val="0"/>
                <w:kern w:val="0"/>
                <w:sz w:val="32"/>
                <w:szCs w:val="32"/>
              </w:rPr>
            </w:pPr>
            <w:r>
              <w:rPr>
                <w:b/>
                <w:snapToGrid w:val="0"/>
                <w:kern w:val="0"/>
                <w:sz w:val="32"/>
                <w:szCs w:val="32"/>
              </w:rPr>
              <w:t>建设单位：</w:t>
            </w:r>
          </w:p>
        </w:tc>
        <w:tc>
          <w:tcPr>
            <w:tcW w:w="5591" w:type="dxa"/>
          </w:tcPr>
          <w:p>
            <w:pPr>
              <w:spacing w:line="360" w:lineRule="auto"/>
              <w:rPr>
                <w:b/>
                <w:sz w:val="32"/>
                <w:szCs w:val="32"/>
              </w:rPr>
            </w:pPr>
            <w:r>
              <w:rPr>
                <w:rFonts w:hint="eastAsia"/>
                <w:b/>
                <w:snapToGrid w:val="0"/>
                <w:kern w:val="0"/>
                <w:sz w:val="32"/>
                <w:szCs w:val="32"/>
              </w:rPr>
              <w:t>中昊晨光化工研究院有限公司</w:t>
            </w:r>
          </w:p>
        </w:tc>
      </w:tr>
    </w:tbl>
    <w:p>
      <w:pPr>
        <w:spacing w:line="360" w:lineRule="auto"/>
        <w:ind w:firstLine="422"/>
        <w:jc w:val="center"/>
        <w:rPr>
          <w:b/>
          <w:spacing w:val="30"/>
          <w:sz w:val="32"/>
          <w:szCs w:val="32"/>
        </w:rPr>
      </w:pPr>
      <w:r>
        <w:rPr>
          <w:b/>
          <w:spacing w:val="30"/>
          <w:sz w:val="32"/>
          <w:szCs w:val="32"/>
        </w:rPr>
        <w:t>202</w:t>
      </w:r>
      <w:r>
        <w:rPr>
          <w:rFonts w:hint="eastAsia"/>
          <w:b/>
          <w:spacing w:val="30"/>
          <w:sz w:val="32"/>
          <w:szCs w:val="32"/>
          <w:lang w:val="en-US" w:eastAsia="zh-CN"/>
        </w:rPr>
        <w:t>2</w:t>
      </w:r>
      <w:r>
        <w:rPr>
          <w:b/>
          <w:spacing w:val="30"/>
          <w:sz w:val="32"/>
          <w:szCs w:val="32"/>
        </w:rPr>
        <w:t>年</w:t>
      </w:r>
      <w:r>
        <w:rPr>
          <w:rFonts w:hint="eastAsia"/>
          <w:b/>
          <w:spacing w:val="30"/>
          <w:sz w:val="32"/>
          <w:szCs w:val="32"/>
          <w:lang w:val="en-US" w:eastAsia="zh-CN"/>
        </w:rPr>
        <w:t>10</w:t>
      </w:r>
      <w:r>
        <w:rPr>
          <w:b/>
          <w:spacing w:val="30"/>
          <w:sz w:val="32"/>
          <w:szCs w:val="32"/>
        </w:rPr>
        <w:t>月</w:t>
      </w:r>
    </w:p>
    <w:p>
      <w:pPr>
        <w:ind w:left="105"/>
        <w:rPr>
          <w:b/>
          <w:spacing w:val="30"/>
          <w:sz w:val="28"/>
          <w:szCs w:val="28"/>
        </w:rPr>
      </w:pPr>
      <w:r>
        <w:rPr>
          <w:b/>
          <w:spacing w:val="30"/>
          <w:sz w:val="28"/>
          <w:szCs w:val="28"/>
        </w:rPr>
        <w:br w:type="page"/>
      </w:r>
    </w:p>
    <w:p>
      <w:pPr>
        <w:spacing w:after="0" w:line="480" w:lineRule="auto"/>
        <w:rPr>
          <w:rFonts w:hint="eastAsia" w:ascii="仿宋_GB2312" w:eastAsia="仿宋_GB2312"/>
          <w:b/>
          <w:color w:val="auto"/>
          <w:sz w:val="28"/>
          <w:highlight w:val="none"/>
        </w:rPr>
      </w:pPr>
    </w:p>
    <w:p>
      <w:pPr>
        <w:spacing w:after="0" w:line="480" w:lineRule="auto"/>
        <w:rPr>
          <w:rFonts w:ascii="仿宋_GB2312" w:eastAsia="仿宋_GB2312"/>
          <w:color w:val="auto"/>
          <w:sz w:val="32"/>
          <w:highlight w:val="none"/>
        </w:rPr>
      </w:pPr>
      <w:r>
        <w:rPr>
          <w:rFonts w:hint="eastAsia" w:ascii="仿宋_GB2312" w:eastAsia="仿宋_GB2312"/>
          <w:b/>
          <w:color w:val="auto"/>
          <w:sz w:val="28"/>
          <w:highlight w:val="none"/>
        </w:rPr>
        <w:t>建设单位法人代表</w:t>
      </w:r>
      <w:r>
        <w:rPr>
          <w:rFonts w:ascii="仿宋_GB2312" w:eastAsia="仿宋_GB2312"/>
          <w:b/>
          <w:color w:val="auto"/>
          <w:sz w:val="28"/>
          <w:highlight w:val="none"/>
        </w:rPr>
        <w:t>:</w:t>
      </w:r>
      <w:r>
        <w:rPr>
          <w:rFonts w:ascii="仿宋_GB2312" w:eastAsia="仿宋_GB2312"/>
          <w:color w:val="auto"/>
          <w:sz w:val="28"/>
          <w:highlight w:val="none"/>
        </w:rPr>
        <w:tab/>
      </w:r>
      <w:r>
        <w:rPr>
          <w:rFonts w:hint="eastAsia" w:ascii="仿宋_GB2312" w:eastAsia="仿宋_GB2312"/>
          <w:color w:val="auto"/>
          <w:sz w:val="28"/>
          <w:highlight w:val="none"/>
        </w:rPr>
        <w:t xml:space="preserve">          （签字）</w:t>
      </w:r>
    </w:p>
    <w:p>
      <w:pPr>
        <w:spacing w:after="0" w:line="480" w:lineRule="auto"/>
        <w:rPr>
          <w:rFonts w:ascii="仿宋_GB2312" w:eastAsia="仿宋_GB2312"/>
          <w:color w:val="auto"/>
          <w:sz w:val="28"/>
          <w:highlight w:val="none"/>
        </w:rPr>
      </w:pPr>
      <w:r>
        <w:rPr>
          <w:rFonts w:hint="eastAsia" w:ascii="仿宋_GB2312" w:eastAsia="仿宋_GB2312"/>
          <w:b/>
          <w:color w:val="auto"/>
          <w:sz w:val="28"/>
          <w:highlight w:val="none"/>
        </w:rPr>
        <w:t>编制单位法人代表</w:t>
      </w:r>
      <w:r>
        <w:rPr>
          <w:rFonts w:ascii="仿宋_GB2312" w:eastAsia="仿宋_GB2312"/>
          <w:b/>
          <w:color w:val="auto"/>
          <w:sz w:val="28"/>
          <w:highlight w:val="none"/>
        </w:rPr>
        <w:t>:</w:t>
      </w:r>
      <w:r>
        <w:rPr>
          <w:rFonts w:ascii="仿宋_GB2312" w:eastAsia="仿宋_GB2312"/>
          <w:color w:val="auto"/>
          <w:sz w:val="28"/>
          <w:highlight w:val="none"/>
        </w:rPr>
        <w:tab/>
      </w:r>
      <w:r>
        <w:rPr>
          <w:rFonts w:hint="eastAsia" w:ascii="仿宋_GB2312" w:eastAsia="仿宋_GB2312"/>
          <w:color w:val="auto"/>
          <w:sz w:val="28"/>
          <w:highlight w:val="none"/>
        </w:rPr>
        <w:t xml:space="preserve">          （签字）</w:t>
      </w:r>
    </w:p>
    <w:p>
      <w:pPr>
        <w:spacing w:after="0" w:line="480" w:lineRule="auto"/>
        <w:rPr>
          <w:rFonts w:ascii="仿宋_GB2312" w:eastAsia="仿宋_GB2312"/>
          <w:b/>
          <w:color w:val="auto"/>
          <w:spacing w:val="2"/>
          <w:w w:val="79"/>
          <w:sz w:val="28"/>
          <w:highlight w:val="none"/>
        </w:rPr>
      </w:pPr>
      <w:r>
        <w:rPr>
          <w:rFonts w:hint="eastAsia" w:ascii="仿宋_GB2312" w:eastAsia="仿宋_GB2312"/>
          <w:b/>
          <w:color w:val="auto"/>
          <w:spacing w:val="10"/>
          <w:w w:val="79"/>
          <w:sz w:val="28"/>
          <w:highlight w:val="none"/>
        </w:rPr>
        <w:t>项  目  负  责  人</w:t>
      </w:r>
      <w:r>
        <w:rPr>
          <w:rFonts w:ascii="仿宋_GB2312" w:eastAsia="仿宋_GB2312"/>
          <w:b/>
          <w:color w:val="auto"/>
          <w:spacing w:val="7"/>
          <w:w w:val="79"/>
          <w:sz w:val="28"/>
          <w:highlight w:val="none"/>
        </w:rPr>
        <w:t>:</w:t>
      </w:r>
    </w:p>
    <w:p>
      <w:pPr>
        <w:spacing w:after="0" w:line="480" w:lineRule="auto"/>
        <w:rPr>
          <w:rFonts w:ascii="仿宋_GB2312" w:eastAsia="仿宋_GB2312"/>
          <w:b/>
          <w:color w:val="auto"/>
          <w:w w:val="88"/>
          <w:sz w:val="28"/>
          <w:highlight w:val="none"/>
        </w:rPr>
      </w:pPr>
      <w:r>
        <w:rPr>
          <w:rFonts w:hint="eastAsia" w:ascii="仿宋_GB2312" w:eastAsia="仿宋_GB2312"/>
          <w:b/>
          <w:color w:val="auto"/>
          <w:spacing w:val="2"/>
          <w:w w:val="79"/>
          <w:sz w:val="28"/>
          <w:highlight w:val="none"/>
        </w:rPr>
        <w:t>报  告  编  写  人：</w:t>
      </w:r>
    </w:p>
    <w:p>
      <w:pPr>
        <w:spacing w:line="360" w:lineRule="auto"/>
        <w:rPr>
          <w:rFonts w:ascii="仿宋_GB2312" w:eastAsia="仿宋_GB2312"/>
          <w:b/>
          <w:color w:val="auto"/>
          <w:sz w:val="28"/>
          <w:highlight w:val="none"/>
        </w:rPr>
      </w:pPr>
    </w:p>
    <w:p>
      <w:pPr>
        <w:spacing w:line="360" w:lineRule="auto"/>
        <w:rPr>
          <w:rFonts w:ascii="仿宋_GB2312" w:eastAsia="仿宋_GB2312"/>
          <w:b/>
          <w:color w:val="FF0000"/>
          <w:sz w:val="28"/>
          <w:highlight w:val="none"/>
        </w:rPr>
      </w:pPr>
    </w:p>
    <w:p>
      <w:pPr>
        <w:spacing w:line="360" w:lineRule="auto"/>
        <w:rPr>
          <w:rFonts w:ascii="仿宋_GB2312" w:eastAsia="仿宋_GB2312"/>
          <w:b/>
          <w:color w:val="FF0000"/>
          <w:sz w:val="28"/>
          <w:highlight w:val="none"/>
        </w:rPr>
      </w:pPr>
    </w:p>
    <w:p>
      <w:pPr>
        <w:spacing w:line="360" w:lineRule="auto"/>
        <w:rPr>
          <w:rFonts w:ascii="仿宋_GB2312" w:eastAsia="仿宋_GB2312"/>
          <w:b/>
          <w:color w:val="FF0000"/>
          <w:sz w:val="28"/>
          <w:highlight w:val="none"/>
        </w:rPr>
      </w:pPr>
    </w:p>
    <w:p>
      <w:pPr>
        <w:spacing w:line="360" w:lineRule="auto"/>
        <w:rPr>
          <w:rFonts w:ascii="仿宋_GB2312" w:eastAsia="仿宋_GB2312"/>
          <w:color w:val="FF0000"/>
          <w:sz w:val="28"/>
          <w:highlight w:val="none"/>
        </w:rPr>
      </w:pPr>
    </w:p>
    <w:p>
      <w:pPr>
        <w:spacing w:line="360" w:lineRule="auto"/>
        <w:rPr>
          <w:rFonts w:ascii="仿宋_GB2312" w:eastAsia="仿宋_GB2312"/>
          <w:color w:val="FF0000"/>
          <w:sz w:val="28"/>
          <w:highlight w:val="none"/>
        </w:rPr>
      </w:pPr>
    </w:p>
    <w:p>
      <w:pPr>
        <w:spacing w:line="360" w:lineRule="auto"/>
        <w:rPr>
          <w:rFonts w:ascii="仿宋_GB2312" w:eastAsia="仿宋_GB2312"/>
          <w:color w:val="FF0000"/>
          <w:sz w:val="28"/>
          <w:highlight w:val="none"/>
        </w:rPr>
      </w:pPr>
    </w:p>
    <w:p>
      <w:pPr>
        <w:spacing w:line="360" w:lineRule="auto"/>
        <w:rPr>
          <w:rFonts w:ascii="仿宋_GB2312" w:eastAsia="仿宋_GB2312"/>
          <w:color w:val="FF0000"/>
          <w:sz w:val="28"/>
          <w:highlight w:val="none"/>
        </w:rPr>
      </w:pPr>
    </w:p>
    <w:tbl>
      <w:tblPr>
        <w:tblStyle w:val="4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9"/>
        <w:gridCol w:w="4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ascii="Times New Roman" w:hAnsi="Times New Roman" w:eastAsia="仿宋_GB2312"/>
                <w:color w:val="auto"/>
                <w:sz w:val="28"/>
                <w:highlight w:val="none"/>
              </w:rPr>
            </w:pPr>
            <w:r>
              <w:rPr>
                <w:rFonts w:ascii="Times New Roman" w:hAnsi="Times New Roman" w:eastAsia="仿宋_GB2312"/>
                <w:color w:val="auto"/>
                <w:sz w:val="28"/>
                <w:highlight w:val="none"/>
              </w:rPr>
              <w:t>建设单位：</w:t>
            </w:r>
            <w:r>
              <w:rPr>
                <w:rFonts w:hint="eastAsia" w:ascii="Times New Roman" w:hAnsi="Times New Roman" w:eastAsia="仿宋_GB2312"/>
                <w:color w:val="auto"/>
                <w:sz w:val="28"/>
                <w:highlight w:val="none"/>
              </w:rPr>
              <w:t>中昊晨光化工研究院有限公司（盖章）</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hint="eastAsia" w:ascii="Times New Roman" w:hAnsi="Times New Roman" w:eastAsia="仿宋_GB2312"/>
                <w:color w:val="auto"/>
                <w:sz w:val="28"/>
                <w:highlight w:val="none"/>
              </w:rPr>
              <w:t>编制单位：</w:t>
            </w:r>
            <w:r>
              <w:rPr>
                <w:rFonts w:hint="eastAsia" w:ascii="Times New Roman" w:hAnsi="Times New Roman" w:eastAsia="仿宋_GB2312"/>
                <w:color w:val="auto"/>
                <w:sz w:val="28"/>
                <w:highlight w:val="none"/>
                <w:lang w:eastAsia="zh-CN"/>
              </w:rPr>
              <w:t>四川吉之源科技发展有限公司</w:t>
            </w:r>
            <w:r>
              <w:rPr>
                <w:rFonts w:hint="eastAsia" w:ascii="Times New Roman" w:hAnsi="Times New Roman" w:eastAsia="仿宋_GB2312"/>
                <w:color w:val="auto"/>
                <w:sz w:val="28"/>
                <w:highlight w:val="none"/>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hint="default" w:ascii="Times New Roman" w:hAnsi="Times New Roman" w:eastAsia="仿宋_GB2312"/>
                <w:color w:val="auto"/>
                <w:sz w:val="28"/>
                <w:highlight w:val="none"/>
                <w:lang w:val="en-US" w:eastAsia="zh-CN"/>
              </w:rPr>
            </w:pPr>
            <w:r>
              <w:rPr>
                <w:rFonts w:ascii="Times New Roman" w:hAnsi="Times New Roman" w:eastAsia="仿宋_GB2312"/>
                <w:color w:val="auto"/>
                <w:sz w:val="28"/>
                <w:highlight w:val="none"/>
              </w:rPr>
              <w:t>电话：</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电话: 0813-</w:t>
            </w:r>
            <w:r>
              <w:rPr>
                <w:rFonts w:hint="eastAsia" w:ascii="Times New Roman" w:hAnsi="Times New Roman" w:eastAsia="仿宋_GB2312"/>
                <w:color w:val="auto"/>
                <w:sz w:val="28"/>
                <w:highlight w:val="none"/>
                <w:lang w:val="en-US" w:eastAsia="zh-CN"/>
              </w:rPr>
              <w:t>7776666</w:t>
            </w:r>
            <w:r>
              <w:rPr>
                <w:rFonts w:ascii="Times New Roman" w:hAnsi="Times New Roman" w:eastAsia="仿宋_GB2312"/>
                <w:color w:val="auto"/>
                <w:sz w:val="28"/>
                <w:highlight w:val="non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ascii="Times New Roman" w:hAnsi="Times New Roman" w:eastAsia="仿宋_GB2312"/>
                <w:color w:val="auto"/>
                <w:sz w:val="28"/>
                <w:highlight w:val="none"/>
              </w:rPr>
            </w:pPr>
            <w:r>
              <w:rPr>
                <w:rFonts w:ascii="Times New Roman" w:hAnsi="Times New Roman" w:eastAsia="仿宋_GB2312"/>
                <w:color w:val="auto"/>
                <w:sz w:val="28"/>
                <w:highlight w:val="none"/>
              </w:rPr>
              <w:t>传真：/</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 xml:space="preserve">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hint="default" w:ascii="Times New Roman" w:hAnsi="Times New Roman" w:eastAsia="仿宋_GB2312"/>
                <w:color w:val="auto"/>
                <w:sz w:val="28"/>
                <w:highlight w:val="none"/>
                <w:lang w:val="en-US" w:eastAsia="zh-CN"/>
              </w:rPr>
            </w:pPr>
            <w:r>
              <w:rPr>
                <w:rFonts w:ascii="Times New Roman" w:hAnsi="Times New Roman" w:eastAsia="仿宋_GB2312"/>
                <w:color w:val="auto"/>
                <w:sz w:val="28"/>
                <w:highlight w:val="none"/>
              </w:rPr>
              <w:t>邮编：64</w:t>
            </w:r>
            <w:r>
              <w:rPr>
                <w:rFonts w:hint="eastAsia" w:ascii="Times New Roman" w:hAnsi="Times New Roman" w:eastAsia="仿宋_GB2312"/>
                <w:color w:val="auto"/>
                <w:sz w:val="28"/>
                <w:highlight w:val="none"/>
                <w:lang w:val="en-US" w:eastAsia="zh-CN"/>
              </w:rPr>
              <w:t>3</w:t>
            </w:r>
            <w:r>
              <w:rPr>
                <w:rFonts w:hint="eastAsia" w:eastAsia="仿宋_GB2312"/>
                <w:color w:val="auto"/>
                <w:sz w:val="28"/>
                <w:highlight w:val="none"/>
                <w:lang w:val="en-US" w:eastAsia="zh-CN"/>
              </w:rPr>
              <w:t>200</w:t>
            </w:r>
          </w:p>
        </w:tc>
        <w:tc>
          <w:tcPr>
            <w:tcW w:w="4491" w:type="dxa"/>
            <w:tcBorders>
              <w:tl2br w:val="nil"/>
              <w:tr2bl w:val="nil"/>
            </w:tcBorders>
            <w:noWrap w:val="0"/>
            <w:vAlign w:val="top"/>
          </w:tcPr>
          <w:p>
            <w:pPr>
              <w:widowControl/>
              <w:spacing w:after="0" w:line="360" w:lineRule="auto"/>
              <w:jc w:val="both"/>
              <w:textAlignment w:val="auto"/>
              <w:rPr>
                <w:rFonts w:hint="default" w:ascii="Times New Roman" w:hAnsi="Times New Roman" w:eastAsia="仿宋_GB2312" w:cs="Times New Roman"/>
                <w:color w:val="auto"/>
                <w:szCs w:val="21"/>
                <w:highlight w:val="none"/>
                <w:lang w:val="en-US" w:eastAsia="zh-CN"/>
              </w:rPr>
            </w:pPr>
            <w:r>
              <w:rPr>
                <w:rFonts w:ascii="Times New Roman" w:hAnsi="Times New Roman" w:eastAsia="仿宋_GB2312"/>
                <w:color w:val="auto"/>
                <w:sz w:val="28"/>
                <w:highlight w:val="none"/>
              </w:rPr>
              <w:t xml:space="preserve">邮编: </w:t>
            </w:r>
            <w:r>
              <w:rPr>
                <w:rFonts w:hint="eastAsia" w:ascii="Times New Roman" w:hAnsi="Times New Roman" w:eastAsia="仿宋_GB2312"/>
                <w:color w:val="auto"/>
                <w:sz w:val="28"/>
                <w:highlight w:val="none"/>
                <w:lang w:val="en-US" w:eastAsia="zh-CN"/>
              </w:rPr>
              <w:t>643030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hint="eastAsia" w:ascii="Times New Roman" w:hAnsi="Times New Roman" w:eastAsia="仿宋_GB2312"/>
                <w:color w:val="auto"/>
                <w:sz w:val="28"/>
                <w:highlight w:val="none"/>
                <w:lang w:eastAsia="zh-CN"/>
              </w:rPr>
            </w:pPr>
            <w:r>
              <w:rPr>
                <w:rFonts w:ascii="Times New Roman" w:hAnsi="Times New Roman" w:eastAsia="仿宋_GB2312"/>
                <w:color w:val="auto"/>
                <w:sz w:val="28"/>
                <w:highlight w:val="none"/>
              </w:rPr>
              <w:t>地址：</w:t>
            </w:r>
            <w:r>
              <w:rPr>
                <w:rFonts w:hint="eastAsia" w:ascii="Times New Roman" w:hAnsi="Times New Roman" w:eastAsia="仿宋_GB2312"/>
                <w:color w:val="auto"/>
                <w:sz w:val="28"/>
                <w:highlight w:val="none"/>
              </w:rPr>
              <w:t>四川省自贡市富顺县富世镇晨光路193号</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 xml:space="preserve">地址: </w:t>
            </w:r>
            <w:r>
              <w:rPr>
                <w:rFonts w:hint="eastAsia" w:ascii="Times New Roman" w:hAnsi="Times New Roman" w:eastAsia="仿宋_GB2312"/>
                <w:color w:val="auto"/>
                <w:sz w:val="28"/>
                <w:lang w:eastAsia="zh-CN"/>
              </w:rPr>
              <w:t>自贡市沿滩区沿滩工业园区兴元路1号科技孵化园</w:t>
            </w:r>
          </w:p>
        </w:tc>
      </w:tr>
    </w:tbl>
    <w:p>
      <w:pPr>
        <w:pStyle w:val="27"/>
        <w:tabs>
          <w:tab w:val="right" w:leader="dot" w:pos="8890"/>
        </w:tabs>
        <w:spacing w:line="360" w:lineRule="auto"/>
        <w:jc w:val="center"/>
        <w:rPr>
          <w:b/>
          <w:bCs/>
          <w:sz w:val="32"/>
          <w:szCs w:val="32"/>
        </w:rPr>
      </w:pPr>
    </w:p>
    <w:p>
      <w:pPr>
        <w:pStyle w:val="27"/>
        <w:tabs>
          <w:tab w:val="right" w:leader="dot" w:pos="8890"/>
        </w:tabs>
        <w:spacing w:line="360" w:lineRule="auto"/>
        <w:jc w:val="center"/>
        <w:rPr>
          <w:b/>
          <w:bCs/>
          <w:sz w:val="32"/>
          <w:szCs w:val="32"/>
        </w:rPr>
      </w:pPr>
    </w:p>
    <w:p>
      <w:pPr>
        <w:pStyle w:val="27"/>
        <w:tabs>
          <w:tab w:val="right" w:leader="dot" w:pos="8890"/>
        </w:tabs>
        <w:spacing w:line="360" w:lineRule="auto"/>
        <w:jc w:val="center"/>
        <w:rPr>
          <w:b/>
          <w:bCs/>
          <w:sz w:val="32"/>
          <w:szCs w:val="32"/>
        </w:rPr>
      </w:pPr>
    </w:p>
    <w:p>
      <w:pPr>
        <w:pStyle w:val="27"/>
        <w:tabs>
          <w:tab w:val="right" w:leader="dot" w:pos="8890"/>
        </w:tabs>
        <w:spacing w:line="360" w:lineRule="auto"/>
        <w:jc w:val="center"/>
        <w:rPr>
          <w:b/>
          <w:bCs/>
          <w:sz w:val="32"/>
          <w:szCs w:val="32"/>
        </w:rPr>
      </w:pPr>
    </w:p>
    <w:p>
      <w:pPr>
        <w:pStyle w:val="27"/>
        <w:tabs>
          <w:tab w:val="right" w:leader="dot" w:pos="8890"/>
        </w:tabs>
        <w:spacing w:line="360" w:lineRule="auto"/>
        <w:jc w:val="center"/>
        <w:rPr>
          <w:b/>
          <w:bCs/>
          <w:sz w:val="32"/>
          <w:szCs w:val="32"/>
        </w:rPr>
      </w:pPr>
      <w:bookmarkStart w:id="121" w:name="_GoBack"/>
      <w:bookmarkEnd w:id="121"/>
      <w:r>
        <w:rPr>
          <w:b/>
          <w:bCs/>
          <w:sz w:val="32"/>
          <w:szCs w:val="32"/>
        </w:rPr>
        <w:t>目录</w:t>
      </w:r>
    </w:p>
    <w:p>
      <w:pPr>
        <w:pStyle w:val="27"/>
        <w:tabs>
          <w:tab w:val="right" w:leader="dot" w:pos="8482"/>
        </w:tabs>
        <w:rPr>
          <w:rFonts w:asciiTheme="minorHAnsi" w:hAnsiTheme="minorHAnsi" w:eastAsiaTheme="minorEastAsia" w:cstheme="minorBidi"/>
          <w:szCs w:val="22"/>
        </w:rPr>
      </w:pPr>
      <w:r>
        <w:rPr>
          <w:szCs w:val="21"/>
        </w:rPr>
        <w:fldChar w:fldCharType="begin"/>
      </w:r>
      <w:r>
        <w:rPr>
          <w:szCs w:val="21"/>
        </w:rPr>
        <w:instrText xml:space="preserve">TOC \o "1-3" \h \u </w:instrText>
      </w:r>
      <w:r>
        <w:rPr>
          <w:szCs w:val="21"/>
        </w:rPr>
        <w:fldChar w:fldCharType="separate"/>
      </w:r>
      <w:r>
        <w:fldChar w:fldCharType="begin"/>
      </w:r>
      <w:r>
        <w:instrText xml:space="preserve"> HYPERLINK \l "_Toc50707386" </w:instrText>
      </w:r>
      <w:r>
        <w:fldChar w:fldCharType="separate"/>
      </w:r>
      <w:r>
        <w:rPr>
          <w:rStyle w:val="49"/>
          <w:rFonts w:hint="eastAsia"/>
        </w:rPr>
        <w:t>前言</w:t>
      </w:r>
      <w:r>
        <w:tab/>
      </w:r>
      <w:r>
        <w:fldChar w:fldCharType="begin"/>
      </w:r>
      <w:r>
        <w:instrText xml:space="preserve"> PAGEREF _Toc50707386 \h </w:instrText>
      </w:r>
      <w:r>
        <w:fldChar w:fldCharType="separate"/>
      </w:r>
      <w:r>
        <w:t>4</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"_Toc50707387" </w:instrText>
      </w:r>
      <w:r>
        <w:fldChar w:fldCharType="separate"/>
      </w:r>
      <w:r>
        <w:rPr>
          <w:rStyle w:val="49"/>
        </w:rPr>
        <w:t xml:space="preserve">1  </w:t>
      </w:r>
      <w:r>
        <w:rPr>
          <w:rStyle w:val="49"/>
          <w:rFonts w:hint="eastAsia"/>
        </w:rPr>
        <w:t>验收依据</w:t>
      </w:r>
      <w:r>
        <w:tab/>
      </w:r>
      <w:r>
        <w:fldChar w:fldCharType="begin"/>
      </w:r>
      <w:r>
        <w:instrText xml:space="preserve"> PAGEREF _Toc50707387 \h </w:instrText>
      </w:r>
      <w:r>
        <w:fldChar w:fldCharType="separate"/>
      </w:r>
      <w:r>
        <w:t>7</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"_Toc50707388" </w:instrText>
      </w:r>
      <w:r>
        <w:fldChar w:fldCharType="separate"/>
      </w:r>
      <w:r>
        <w:rPr>
          <w:rStyle w:val="49"/>
          <w:b/>
        </w:rPr>
        <w:t>1.1</w:t>
      </w:r>
      <w:r>
        <w:rPr>
          <w:rStyle w:val="49"/>
          <w:rFonts w:hint="eastAsia"/>
          <w:b/>
        </w:rPr>
        <w:t>验收报告编制依据</w:t>
      </w:r>
      <w:r>
        <w:tab/>
      </w:r>
      <w:r>
        <w:fldChar w:fldCharType="begin"/>
      </w:r>
      <w:r>
        <w:instrText xml:space="preserve"> PAGEREF _Toc50707388 \h </w:instrText>
      </w:r>
      <w:r>
        <w:fldChar w:fldCharType="separate"/>
      </w:r>
      <w:r>
        <w:t>7</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"_Toc50707389" </w:instrText>
      </w:r>
      <w:r>
        <w:fldChar w:fldCharType="separate"/>
      </w:r>
      <w:r>
        <w:rPr>
          <w:rStyle w:val="49"/>
        </w:rPr>
        <w:t>1.1.1</w:t>
      </w:r>
      <w:r>
        <w:rPr>
          <w:rStyle w:val="49"/>
          <w:rFonts w:hint="eastAsia"/>
        </w:rPr>
        <w:t>环保法规及政策</w:t>
      </w:r>
      <w:r>
        <w:tab/>
      </w:r>
      <w:r>
        <w:fldChar w:fldCharType="begin"/>
      </w:r>
      <w:r>
        <w:instrText xml:space="preserve"> PAGEREF _Toc50707389 \h </w:instrText>
      </w:r>
      <w:r>
        <w:fldChar w:fldCharType="separate"/>
      </w:r>
      <w:r>
        <w:t>7</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"_Toc50707390" </w:instrText>
      </w:r>
      <w:r>
        <w:fldChar w:fldCharType="separate"/>
      </w:r>
      <w:r>
        <w:rPr>
          <w:rStyle w:val="49"/>
        </w:rPr>
        <w:t>1.1.2</w:t>
      </w:r>
      <w:r>
        <w:rPr>
          <w:rStyle w:val="49"/>
          <w:rFonts w:hint="eastAsia"/>
        </w:rPr>
        <w:t>环评报告及批复文件</w:t>
      </w:r>
      <w:r>
        <w:tab/>
      </w:r>
      <w:r>
        <w:fldChar w:fldCharType="begin"/>
      </w:r>
      <w:r>
        <w:instrText xml:space="preserve"> PAGEREF _Toc50707390 \h </w:instrText>
      </w:r>
      <w:r>
        <w:fldChar w:fldCharType="separate"/>
      </w:r>
      <w:r>
        <w:t>7</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"_Toc50707391" </w:instrText>
      </w:r>
      <w:r>
        <w:fldChar w:fldCharType="separate"/>
      </w:r>
      <w:r>
        <w:rPr>
          <w:rStyle w:val="49"/>
          <w:b/>
        </w:rPr>
        <w:t>1.2</w:t>
      </w:r>
      <w:r>
        <w:rPr>
          <w:rStyle w:val="49"/>
          <w:rFonts w:hint="eastAsia"/>
          <w:b/>
        </w:rPr>
        <w:t>验收监测范围、因子</w:t>
      </w:r>
      <w:r>
        <w:tab/>
      </w:r>
      <w:r>
        <w:fldChar w:fldCharType="begin"/>
      </w:r>
      <w:r>
        <w:instrText xml:space="preserve"> PAGEREF _Toc50707391 \h </w:instrText>
      </w:r>
      <w:r>
        <w:fldChar w:fldCharType="separate"/>
      </w:r>
      <w:r>
        <w:t>8</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"_Toc50707392" </w:instrText>
      </w:r>
      <w:r>
        <w:fldChar w:fldCharType="separate"/>
      </w:r>
      <w:r>
        <w:rPr>
          <w:rStyle w:val="49"/>
        </w:rPr>
        <w:t xml:space="preserve">1.2.1 </w:t>
      </w:r>
      <w:r>
        <w:rPr>
          <w:rStyle w:val="49"/>
          <w:rFonts w:hint="eastAsia"/>
        </w:rPr>
        <w:t>监测范围</w:t>
      </w:r>
      <w:r>
        <w:tab/>
      </w:r>
      <w:r>
        <w:fldChar w:fldCharType="begin"/>
      </w:r>
      <w:r>
        <w:instrText xml:space="preserve"> PAGEREF _Toc50707392 \h </w:instrText>
      </w:r>
      <w:r>
        <w:fldChar w:fldCharType="separate"/>
      </w:r>
      <w:r>
        <w:t>8</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"_Toc50707393" </w:instrText>
      </w:r>
      <w:r>
        <w:fldChar w:fldCharType="separate"/>
      </w:r>
      <w:r>
        <w:rPr>
          <w:rStyle w:val="49"/>
          <w:b/>
        </w:rPr>
        <w:t>1.3</w:t>
      </w:r>
      <w:r>
        <w:rPr>
          <w:rStyle w:val="49"/>
          <w:rFonts w:hint="eastAsia"/>
          <w:b/>
        </w:rPr>
        <w:t>验收监测工作程序</w:t>
      </w:r>
      <w:r>
        <w:tab/>
      </w:r>
      <w:r>
        <w:fldChar w:fldCharType="begin"/>
      </w:r>
      <w:r>
        <w:instrText xml:space="preserve"> PAGEREF _Toc50707393 \h </w:instrText>
      </w:r>
      <w:r>
        <w:fldChar w:fldCharType="separate"/>
      </w:r>
      <w:r>
        <w:t>8</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"_Toc50707394" </w:instrText>
      </w:r>
      <w:r>
        <w:fldChar w:fldCharType="separate"/>
      </w:r>
      <w:r>
        <w:rPr>
          <w:rStyle w:val="49"/>
        </w:rPr>
        <w:t xml:space="preserve">2 </w:t>
      </w:r>
      <w:r>
        <w:rPr>
          <w:rStyle w:val="49"/>
          <w:rFonts w:hint="eastAsia"/>
        </w:rPr>
        <w:t>建设项目工程概况</w:t>
      </w:r>
      <w:r>
        <w:tab/>
      </w:r>
      <w:r>
        <w:fldChar w:fldCharType="begin"/>
      </w:r>
      <w:r>
        <w:instrText xml:space="preserve"> PAGEREF _Toc50707394 \h </w:instrText>
      </w:r>
      <w:r>
        <w:fldChar w:fldCharType="separate"/>
      </w:r>
      <w:r>
        <w:t>9</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"_Toc50707395" </w:instrText>
      </w:r>
      <w:r>
        <w:fldChar w:fldCharType="separate"/>
      </w:r>
      <w:r>
        <w:rPr>
          <w:rStyle w:val="49"/>
          <w:b/>
        </w:rPr>
        <w:t xml:space="preserve">2.1 </w:t>
      </w:r>
      <w:r>
        <w:rPr>
          <w:rStyle w:val="49"/>
          <w:rFonts w:hint="eastAsia"/>
          <w:b/>
        </w:rPr>
        <w:t>工程基本情况</w:t>
      </w:r>
      <w:r>
        <w:tab/>
      </w:r>
      <w:r>
        <w:fldChar w:fldCharType="begin"/>
      </w:r>
      <w:r>
        <w:instrText xml:space="preserve"> PAGEREF _Toc50707395 \h </w:instrText>
      </w:r>
      <w:r>
        <w:fldChar w:fldCharType="separate"/>
      </w:r>
      <w:r>
        <w:t>9</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"_Toc50707396" </w:instrText>
      </w:r>
      <w:r>
        <w:fldChar w:fldCharType="separate"/>
      </w:r>
      <w:r>
        <w:rPr>
          <w:rStyle w:val="49"/>
          <w:b/>
        </w:rPr>
        <w:t xml:space="preserve">2.2 </w:t>
      </w:r>
      <w:r>
        <w:rPr>
          <w:rStyle w:val="49"/>
          <w:rFonts w:hint="eastAsia"/>
          <w:b/>
        </w:rPr>
        <w:t>建设内容及规模</w:t>
      </w:r>
      <w:r>
        <w:tab/>
      </w:r>
      <w:r>
        <w:fldChar w:fldCharType="begin"/>
      </w:r>
      <w:r>
        <w:instrText xml:space="preserve"> PAGEREF _Toc50707396 \h </w:instrText>
      </w:r>
      <w:r>
        <w:fldChar w:fldCharType="separate"/>
      </w:r>
      <w:r>
        <w:t>9</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"_Toc50707397" </w:instrText>
      </w:r>
      <w:r>
        <w:fldChar w:fldCharType="separate"/>
      </w:r>
      <w:r>
        <w:rPr>
          <w:rStyle w:val="49"/>
        </w:rPr>
        <w:t>2.2.1</w:t>
      </w:r>
      <w:r>
        <w:rPr>
          <w:rStyle w:val="49"/>
          <w:rFonts w:hint="eastAsia"/>
        </w:rPr>
        <w:t>建设内容</w:t>
      </w:r>
      <w:r>
        <w:tab/>
      </w:r>
      <w:r>
        <w:fldChar w:fldCharType="begin"/>
      </w:r>
      <w:r>
        <w:instrText xml:space="preserve"> PAGEREF _Toc50707397 \h </w:instrText>
      </w:r>
      <w:r>
        <w:fldChar w:fldCharType="separate"/>
      </w:r>
      <w:r>
        <w:t>9</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"_Toc50707398" </w:instrText>
      </w:r>
      <w:r>
        <w:fldChar w:fldCharType="separate"/>
      </w:r>
      <w:r>
        <w:rPr>
          <w:rStyle w:val="49"/>
        </w:rPr>
        <w:t>2.2.2</w:t>
      </w:r>
      <w:r>
        <w:rPr>
          <w:rStyle w:val="49"/>
          <w:rFonts w:hint="eastAsia"/>
        </w:rPr>
        <w:t>生产规模及方案</w:t>
      </w:r>
      <w:r>
        <w:tab/>
      </w:r>
      <w:r>
        <w:fldChar w:fldCharType="begin"/>
      </w:r>
      <w:r>
        <w:instrText xml:space="preserve"> PAGEREF _Toc50707398 \h </w:instrText>
      </w:r>
      <w:r>
        <w:fldChar w:fldCharType="separate"/>
      </w:r>
      <w:r>
        <w:t>11</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"_Toc50707399" </w:instrText>
      </w:r>
      <w:r>
        <w:fldChar w:fldCharType="separate"/>
      </w:r>
      <w:r>
        <w:rPr>
          <w:rStyle w:val="49"/>
        </w:rPr>
        <w:t>2.2.3</w:t>
      </w:r>
      <w:r>
        <w:rPr>
          <w:rStyle w:val="49"/>
          <w:rFonts w:hint="eastAsia"/>
        </w:rPr>
        <w:t>项目劳动定员、生产制度</w:t>
      </w:r>
      <w:r>
        <w:tab/>
      </w:r>
      <w:r>
        <w:fldChar w:fldCharType="begin"/>
      </w:r>
      <w:r>
        <w:instrText xml:space="preserve"> PAGEREF _Toc50707399 \h </w:instrText>
      </w:r>
      <w:r>
        <w:fldChar w:fldCharType="separate"/>
      </w:r>
      <w:r>
        <w:t>12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"_Toc50707400" </w:instrText>
      </w:r>
      <w:r>
        <w:fldChar w:fldCharType="separate"/>
      </w:r>
      <w:r>
        <w:rPr>
          <w:rStyle w:val="49"/>
          <w:b/>
        </w:rPr>
        <w:t>2.3</w:t>
      </w:r>
      <w:r>
        <w:rPr>
          <w:rStyle w:val="49"/>
          <w:rFonts w:hint="eastAsia"/>
          <w:b/>
        </w:rPr>
        <w:t>工程投资与环境保护投资</w:t>
      </w:r>
      <w:r>
        <w:tab/>
      </w:r>
      <w:r>
        <w:fldChar w:fldCharType="begin"/>
      </w:r>
      <w:r>
        <w:instrText xml:space="preserve"> PAGEREF _Toc50707400 \h </w:instrText>
      </w:r>
      <w:r>
        <w:fldChar w:fldCharType="separate"/>
      </w:r>
      <w:r>
        <w:t>12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"_Toc50707401" </w:instrText>
      </w:r>
      <w:r>
        <w:fldChar w:fldCharType="separate"/>
      </w:r>
      <w:r>
        <w:rPr>
          <w:rStyle w:val="49"/>
          <w:b/>
        </w:rPr>
        <w:t>2.4</w:t>
      </w:r>
      <w:r>
        <w:rPr>
          <w:rStyle w:val="49"/>
          <w:rFonts w:hint="eastAsia"/>
          <w:b/>
        </w:rPr>
        <w:t>生产工艺分析</w:t>
      </w:r>
      <w:r>
        <w:tab/>
      </w:r>
      <w:r>
        <w:fldChar w:fldCharType="begin"/>
      </w:r>
      <w:r>
        <w:instrText xml:space="preserve"> PAGEREF _Toc50707401 \h </w:instrText>
      </w:r>
      <w:r>
        <w:fldChar w:fldCharType="separate"/>
      </w:r>
      <w:r>
        <w:t>13</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"_Toc50707402" </w:instrText>
      </w:r>
      <w:r>
        <w:fldChar w:fldCharType="separate"/>
      </w:r>
      <w:r>
        <w:rPr>
          <w:rStyle w:val="49"/>
        </w:rPr>
        <w:t>2.4.1</w:t>
      </w:r>
      <w:r>
        <w:rPr>
          <w:rStyle w:val="49"/>
          <w:rFonts w:hint="eastAsia"/>
        </w:rPr>
        <w:t>工艺过程简述</w:t>
      </w:r>
      <w:r>
        <w:tab/>
      </w:r>
      <w:r>
        <w:fldChar w:fldCharType="begin"/>
      </w:r>
      <w:r>
        <w:instrText xml:space="preserve"> PAGEREF _Toc50707402 \h </w:instrText>
      </w:r>
      <w:r>
        <w:fldChar w:fldCharType="separate"/>
      </w:r>
      <w:r>
        <w:t>13</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"_Toc50707403" </w:instrText>
      </w:r>
      <w:r>
        <w:fldChar w:fldCharType="separate"/>
      </w:r>
      <w:r>
        <w:rPr>
          <w:rStyle w:val="49"/>
        </w:rPr>
        <w:t>2.4.2</w:t>
      </w:r>
      <w:r>
        <w:rPr>
          <w:rStyle w:val="49"/>
          <w:rFonts w:hint="eastAsia"/>
        </w:rPr>
        <w:t>总生产工艺流程简述</w:t>
      </w:r>
      <w:r>
        <w:tab/>
      </w:r>
      <w:r>
        <w:fldChar w:fldCharType="begin"/>
      </w:r>
      <w:r>
        <w:instrText xml:space="preserve"> PAGEREF _Toc50707403 \h </w:instrText>
      </w:r>
      <w:r>
        <w:fldChar w:fldCharType="separate"/>
      </w:r>
      <w:r>
        <w:t>13</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"_Toc50707404" </w:instrText>
      </w:r>
      <w:r>
        <w:fldChar w:fldCharType="separate"/>
      </w:r>
      <w:r>
        <w:rPr>
          <w:rStyle w:val="49"/>
        </w:rPr>
        <w:t>2.4.3</w:t>
      </w:r>
      <w:r>
        <w:rPr>
          <w:rStyle w:val="49"/>
          <w:rFonts w:hint="eastAsia"/>
        </w:rPr>
        <w:t>项目生产工艺及产污环节分析</w:t>
      </w:r>
      <w:r>
        <w:tab/>
      </w:r>
      <w:r>
        <w:fldChar w:fldCharType="begin"/>
      </w:r>
      <w:r>
        <w:instrText xml:space="preserve"> PAGEREF _Toc50707404 \h </w:instrText>
      </w:r>
      <w:r>
        <w:fldChar w:fldCharType="separate"/>
      </w:r>
      <w:r>
        <w:t>15</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"_Toc50707405" </w:instrText>
      </w:r>
      <w:r>
        <w:fldChar w:fldCharType="separate"/>
      </w:r>
      <w:r>
        <w:rPr>
          <w:rStyle w:val="49"/>
        </w:rPr>
        <w:t>2.4.3</w:t>
      </w:r>
      <w:r>
        <w:rPr>
          <w:rStyle w:val="49"/>
          <w:rFonts w:hint="eastAsia"/>
        </w:rPr>
        <w:t>项目污染物产生环节</w:t>
      </w:r>
      <w:r>
        <w:tab/>
      </w:r>
      <w:r>
        <w:fldChar w:fldCharType="begin"/>
      </w:r>
      <w:r>
        <w:instrText xml:space="preserve"> PAGEREF _Toc50707405 \h </w:instrText>
      </w:r>
      <w:r>
        <w:fldChar w:fldCharType="separate"/>
      </w:r>
      <w:r>
        <w:t>26</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"_Toc50707406" </w:instrText>
      </w:r>
      <w:r>
        <w:fldChar w:fldCharType="separate"/>
      </w:r>
      <w:r>
        <w:rPr>
          <w:rStyle w:val="49"/>
          <w:b/>
        </w:rPr>
        <w:t>2.5</w:t>
      </w:r>
      <w:r>
        <w:rPr>
          <w:rStyle w:val="49"/>
          <w:rFonts w:hint="eastAsia"/>
          <w:b/>
        </w:rPr>
        <w:t>施工期污染防治措施</w:t>
      </w:r>
      <w:r>
        <w:tab/>
      </w:r>
      <w:r>
        <w:fldChar w:fldCharType="begin"/>
      </w:r>
      <w:r>
        <w:instrText xml:space="preserve"> PAGEREF _Toc50707406 \h </w:instrText>
      </w:r>
      <w:r>
        <w:fldChar w:fldCharType="separate"/>
      </w:r>
      <w:r>
        <w:t>27</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"_Toc50707407" </w:instrText>
      </w:r>
      <w:r>
        <w:fldChar w:fldCharType="separate"/>
      </w:r>
      <w:r>
        <w:rPr>
          <w:rStyle w:val="49"/>
        </w:rPr>
        <w:t>2.5.1</w:t>
      </w:r>
      <w:r>
        <w:rPr>
          <w:rStyle w:val="49"/>
          <w:rFonts w:hint="eastAsia"/>
        </w:rPr>
        <w:t>废水产生、治理及排放情况调查</w:t>
      </w:r>
      <w:r>
        <w:tab/>
      </w:r>
      <w:r>
        <w:fldChar w:fldCharType="begin"/>
      </w:r>
      <w:r>
        <w:instrText xml:space="preserve"> PAGEREF _Toc50707407 \h </w:instrText>
      </w:r>
      <w:r>
        <w:fldChar w:fldCharType="separate"/>
      </w:r>
      <w:r>
        <w:t>27</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"_Toc50707408" </w:instrText>
      </w:r>
      <w:r>
        <w:fldChar w:fldCharType="separate"/>
      </w:r>
      <w:r>
        <w:rPr>
          <w:rStyle w:val="49"/>
        </w:rPr>
        <w:t>2.5.2</w:t>
      </w:r>
      <w:r>
        <w:rPr>
          <w:rStyle w:val="49"/>
          <w:rFonts w:hint="eastAsia"/>
        </w:rPr>
        <w:t>废气产生、治理及排放情况调查</w:t>
      </w:r>
      <w:r>
        <w:tab/>
      </w:r>
      <w:r>
        <w:fldChar w:fldCharType="begin"/>
      </w:r>
      <w:r>
        <w:instrText xml:space="preserve"> PAGEREF _Toc50707408 \h </w:instrText>
      </w:r>
      <w:r>
        <w:fldChar w:fldCharType="separate"/>
      </w:r>
      <w:r>
        <w:t>27</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"_Toc50707409" </w:instrText>
      </w:r>
      <w:r>
        <w:fldChar w:fldCharType="separate"/>
      </w:r>
      <w:r>
        <w:rPr>
          <w:rStyle w:val="49"/>
        </w:rPr>
        <w:t>2.5.3</w:t>
      </w:r>
      <w:r>
        <w:rPr>
          <w:rStyle w:val="49"/>
          <w:rFonts w:hint="eastAsia"/>
        </w:rPr>
        <w:t>施工噪声产生、治理及排放情况调查</w:t>
      </w:r>
      <w:r>
        <w:tab/>
      </w:r>
      <w:r>
        <w:fldChar w:fldCharType="begin"/>
      </w:r>
      <w:r>
        <w:instrText xml:space="preserve"> PAGEREF _Toc50707409 \h </w:instrText>
      </w:r>
      <w:r>
        <w:fldChar w:fldCharType="separate"/>
      </w:r>
      <w:r>
        <w:t>27</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"_Toc50707410" </w:instrText>
      </w:r>
      <w:r>
        <w:fldChar w:fldCharType="separate"/>
      </w:r>
      <w:r>
        <w:rPr>
          <w:rStyle w:val="49"/>
          <w:b/>
          <w:bCs/>
        </w:rPr>
        <w:t>2.5.4</w:t>
      </w:r>
      <w:r>
        <w:rPr>
          <w:rStyle w:val="49"/>
          <w:rFonts w:hint="eastAsia"/>
          <w:b/>
          <w:bCs/>
        </w:rPr>
        <w:t>施工固废产生、治理及排放情况调查</w:t>
      </w:r>
      <w:r>
        <w:tab/>
      </w:r>
      <w:r>
        <w:fldChar w:fldCharType="begin"/>
      </w:r>
      <w:r>
        <w:instrText xml:space="preserve"> PAGEREF _Toc50707410 \h </w:instrText>
      </w:r>
      <w:r>
        <w:fldChar w:fldCharType="separate"/>
      </w:r>
      <w:r>
        <w:t>27</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"_Toc50707411" </w:instrText>
      </w:r>
      <w:r>
        <w:fldChar w:fldCharType="separate"/>
      </w:r>
      <w:r>
        <w:rPr>
          <w:rStyle w:val="49"/>
          <w:b/>
        </w:rPr>
        <w:t>2.6</w:t>
      </w:r>
      <w:r>
        <w:rPr>
          <w:rStyle w:val="49"/>
          <w:rFonts w:hint="eastAsia"/>
          <w:b/>
        </w:rPr>
        <w:t>营运期环保措施分析</w:t>
      </w:r>
      <w:r>
        <w:tab/>
      </w:r>
      <w:r>
        <w:fldChar w:fldCharType="begin"/>
      </w:r>
      <w:r>
        <w:instrText xml:space="preserve"> PAGEREF _Toc50707411 \h </w:instrText>
      </w:r>
      <w:r>
        <w:fldChar w:fldCharType="separate"/>
      </w:r>
      <w:r>
        <w:t>28</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"_Toc50707412" </w:instrText>
      </w:r>
      <w:r>
        <w:fldChar w:fldCharType="separate"/>
      </w:r>
      <w:r>
        <w:rPr>
          <w:rStyle w:val="49"/>
          <w:spacing w:val="4"/>
        </w:rPr>
        <w:t xml:space="preserve">2.6.1 </w:t>
      </w:r>
      <w:r>
        <w:rPr>
          <w:rStyle w:val="49"/>
          <w:rFonts w:hint="eastAsia"/>
          <w:spacing w:val="4"/>
        </w:rPr>
        <w:t>营运期废水防治措施</w:t>
      </w:r>
      <w:r>
        <w:tab/>
      </w:r>
      <w:r>
        <w:fldChar w:fldCharType="begin"/>
      </w:r>
      <w:r>
        <w:instrText xml:space="preserve"> PAGEREF _Toc50707412 \h </w:instrText>
      </w:r>
      <w:r>
        <w:fldChar w:fldCharType="separate"/>
      </w:r>
      <w:r>
        <w:t>28</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"_Toc50707413" </w:instrText>
      </w:r>
      <w:r>
        <w:fldChar w:fldCharType="separate"/>
      </w:r>
      <w:r>
        <w:rPr>
          <w:rStyle w:val="49"/>
          <w:spacing w:val="4"/>
        </w:rPr>
        <w:t>2.6.2</w:t>
      </w:r>
      <w:r>
        <w:rPr>
          <w:rStyle w:val="49"/>
          <w:rFonts w:hint="eastAsia"/>
          <w:spacing w:val="4"/>
        </w:rPr>
        <w:t>营运期废气防治措施</w:t>
      </w:r>
      <w:r>
        <w:tab/>
      </w:r>
      <w:r>
        <w:fldChar w:fldCharType="begin"/>
      </w:r>
      <w:r>
        <w:instrText xml:space="preserve"> PAGEREF _Toc50707413 \h </w:instrText>
      </w:r>
      <w:r>
        <w:fldChar w:fldCharType="separate"/>
      </w:r>
      <w:r>
        <w:t>28</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"_Toc50707414" </w:instrText>
      </w:r>
      <w:r>
        <w:fldChar w:fldCharType="separate"/>
      </w:r>
      <w:r>
        <w:rPr>
          <w:rStyle w:val="49"/>
        </w:rPr>
        <w:t>2.6.3</w:t>
      </w:r>
      <w:r>
        <w:rPr>
          <w:rStyle w:val="49"/>
          <w:rFonts w:hint="eastAsia"/>
        </w:rPr>
        <w:t>营运期噪声产生、治理及排放情况分析</w:t>
      </w:r>
      <w:r>
        <w:tab/>
      </w:r>
      <w:r>
        <w:fldChar w:fldCharType="begin"/>
      </w:r>
      <w:r>
        <w:instrText xml:space="preserve"> PAGEREF _Toc50707414 \h </w:instrText>
      </w:r>
      <w:r>
        <w:fldChar w:fldCharType="separate"/>
      </w:r>
      <w:r>
        <w:t>30</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"_Toc50707415" </w:instrText>
      </w:r>
      <w:r>
        <w:fldChar w:fldCharType="separate"/>
      </w:r>
      <w:r>
        <w:rPr>
          <w:rStyle w:val="49"/>
        </w:rPr>
        <w:t>2.6.4</w:t>
      </w:r>
      <w:r>
        <w:rPr>
          <w:rStyle w:val="49"/>
          <w:rFonts w:hint="eastAsia"/>
        </w:rPr>
        <w:t>营运期固废产生、治理及排放情况分析</w:t>
      </w:r>
      <w:r>
        <w:tab/>
      </w:r>
      <w:r>
        <w:fldChar w:fldCharType="begin"/>
      </w:r>
      <w:r>
        <w:instrText xml:space="preserve"> PAGEREF _Toc50707415 \h </w:instrText>
      </w:r>
      <w:r>
        <w:fldChar w:fldCharType="separate"/>
      </w:r>
      <w:r>
        <w:t>31</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"_Toc50707416" </w:instrText>
      </w:r>
      <w:r>
        <w:fldChar w:fldCharType="separate"/>
      </w:r>
      <w:r>
        <w:rPr>
          <w:rStyle w:val="49"/>
        </w:rPr>
        <w:t>3</w:t>
      </w:r>
      <w:r>
        <w:rPr>
          <w:rStyle w:val="49"/>
          <w:rFonts w:hint="eastAsia"/>
        </w:rPr>
        <w:t>环境影响报告书回顾</w:t>
      </w:r>
      <w:r>
        <w:tab/>
      </w:r>
      <w:r>
        <w:fldChar w:fldCharType="begin"/>
      </w:r>
      <w:r>
        <w:instrText xml:space="preserve"> PAGEREF _Toc50707416 \h </w:instrText>
      </w:r>
      <w:r>
        <w:fldChar w:fldCharType="separate"/>
      </w:r>
      <w:r>
        <w:t>32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"_Toc50707417" </w:instrText>
      </w:r>
      <w:r>
        <w:fldChar w:fldCharType="separate"/>
      </w:r>
      <w:r>
        <w:rPr>
          <w:rStyle w:val="49"/>
          <w:rFonts w:hint="eastAsia"/>
          <w:b/>
        </w:rPr>
        <w:t>主要结论</w:t>
      </w:r>
      <w:r>
        <w:tab/>
      </w:r>
      <w:r>
        <w:fldChar w:fldCharType="begin"/>
      </w:r>
      <w:r>
        <w:instrText xml:space="preserve"> PAGEREF _Toc50707417 \h </w:instrText>
      </w:r>
      <w:r>
        <w:fldChar w:fldCharType="separate"/>
      </w:r>
      <w:r>
        <w:t>32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"_Toc50707418" </w:instrText>
      </w:r>
      <w:r>
        <w:fldChar w:fldCharType="separate"/>
      </w:r>
      <w:r>
        <w:rPr>
          <w:rStyle w:val="49"/>
          <w:b/>
        </w:rPr>
        <w:t>2</w:t>
      </w:r>
      <w:r>
        <w:rPr>
          <w:rStyle w:val="49"/>
          <w:rFonts w:hint="eastAsia"/>
          <w:b/>
        </w:rPr>
        <w:t>环境影响报告书批复意见</w:t>
      </w:r>
      <w:r>
        <w:tab/>
      </w:r>
      <w:r>
        <w:fldChar w:fldCharType="begin"/>
      </w:r>
      <w:r>
        <w:instrText xml:space="preserve"> PAGEREF _Toc50707418 \h </w:instrText>
      </w:r>
      <w:r>
        <w:fldChar w:fldCharType="separate"/>
      </w:r>
      <w:r>
        <w:t>32</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"_Toc50707419" </w:instrText>
      </w:r>
      <w:r>
        <w:fldChar w:fldCharType="separate"/>
      </w:r>
      <w:r>
        <w:rPr>
          <w:rStyle w:val="49"/>
        </w:rPr>
        <w:t>4</w:t>
      </w:r>
      <w:r>
        <w:rPr>
          <w:rStyle w:val="49"/>
          <w:rFonts w:hint="eastAsia"/>
        </w:rPr>
        <w:t>环境保护措施落实情况调查</w:t>
      </w:r>
      <w:r>
        <w:tab/>
      </w:r>
      <w:r>
        <w:fldChar w:fldCharType="begin"/>
      </w:r>
      <w:r>
        <w:instrText xml:space="preserve"> PAGEREF _Toc50707419 \h </w:instrText>
      </w:r>
      <w:r>
        <w:fldChar w:fldCharType="separate"/>
      </w:r>
      <w:r>
        <w:t>36</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"_Toc50707420" </w:instrText>
      </w:r>
      <w:r>
        <w:fldChar w:fldCharType="separate"/>
      </w:r>
      <w:r>
        <w:rPr>
          <w:rStyle w:val="49"/>
          <w:rFonts w:hint="eastAsia"/>
          <w:b/>
        </w:rPr>
        <w:t>项目环境影响报告书的批复要求落实情况</w:t>
      </w:r>
      <w:r>
        <w:tab/>
      </w:r>
      <w:r>
        <w:fldChar w:fldCharType="begin"/>
      </w:r>
      <w:r>
        <w:instrText xml:space="preserve"> PAGEREF _Toc50707420 \h </w:instrText>
      </w:r>
      <w:r>
        <w:fldChar w:fldCharType="separate"/>
      </w:r>
      <w:r>
        <w:t>37</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"_Toc50707421" </w:instrText>
      </w:r>
      <w:r>
        <w:fldChar w:fldCharType="separate"/>
      </w:r>
      <w:r>
        <w:rPr>
          <w:rStyle w:val="49"/>
        </w:rPr>
        <w:t>5</w:t>
      </w:r>
      <w:r>
        <w:rPr>
          <w:rStyle w:val="49"/>
          <w:rFonts w:hint="eastAsia"/>
        </w:rPr>
        <w:t>验收评价标准及总量控制</w:t>
      </w:r>
      <w:r>
        <w:tab/>
      </w:r>
      <w:r>
        <w:fldChar w:fldCharType="begin"/>
      </w:r>
      <w:r>
        <w:instrText xml:space="preserve"> PAGEREF _Toc50707421 \h </w:instrText>
      </w:r>
      <w:r>
        <w:fldChar w:fldCharType="separate"/>
      </w:r>
      <w:r>
        <w:t>39</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"_Toc50707422" </w:instrText>
      </w:r>
      <w:r>
        <w:fldChar w:fldCharType="separate"/>
      </w:r>
      <w:r>
        <w:rPr>
          <w:rStyle w:val="49"/>
          <w:b/>
        </w:rPr>
        <w:t>5.1</w:t>
      </w:r>
      <w:r>
        <w:rPr>
          <w:rStyle w:val="49"/>
          <w:rFonts w:hint="eastAsia"/>
          <w:b/>
        </w:rPr>
        <w:t>验收评价标准</w:t>
      </w:r>
      <w:r>
        <w:tab/>
      </w:r>
      <w:r>
        <w:fldChar w:fldCharType="begin"/>
      </w:r>
      <w:r>
        <w:instrText xml:space="preserve"> PAGEREF _Toc50707422 \h </w:instrText>
      </w:r>
      <w:r>
        <w:fldChar w:fldCharType="separate"/>
      </w:r>
      <w:r>
        <w:t>39</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"_Toc50707423" </w:instrText>
      </w:r>
      <w:r>
        <w:fldChar w:fldCharType="separate"/>
      </w:r>
      <w:r>
        <w:rPr>
          <w:rStyle w:val="49"/>
          <w:b/>
        </w:rPr>
        <w:t>5.2</w:t>
      </w:r>
      <w:r>
        <w:rPr>
          <w:rStyle w:val="49"/>
          <w:rFonts w:hint="eastAsia"/>
          <w:b/>
        </w:rPr>
        <w:t>总量控制</w:t>
      </w:r>
      <w:r>
        <w:tab/>
      </w:r>
      <w:r>
        <w:fldChar w:fldCharType="begin"/>
      </w:r>
      <w:r>
        <w:instrText xml:space="preserve"> PAGEREF _Toc50707423 \h </w:instrText>
      </w:r>
      <w:r>
        <w:fldChar w:fldCharType="separate"/>
      </w:r>
      <w:r>
        <w:t>40</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"_Toc50707424" </w:instrText>
      </w:r>
      <w:r>
        <w:fldChar w:fldCharType="separate"/>
      </w:r>
      <w:r>
        <w:rPr>
          <w:rStyle w:val="49"/>
        </w:rPr>
        <w:t>6</w:t>
      </w:r>
      <w:r>
        <w:rPr>
          <w:rStyle w:val="49"/>
          <w:rFonts w:hint="eastAsia"/>
        </w:rPr>
        <w:t>验收监测工作内容</w:t>
      </w:r>
      <w:r>
        <w:tab/>
      </w:r>
      <w:r>
        <w:fldChar w:fldCharType="begin"/>
      </w:r>
      <w:r>
        <w:instrText xml:space="preserve"> PAGEREF _Toc50707424 \h </w:instrText>
      </w:r>
      <w:r>
        <w:fldChar w:fldCharType="separate"/>
      </w:r>
      <w:r>
        <w:t>41</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"_Toc50707425" </w:instrText>
      </w:r>
      <w:r>
        <w:fldChar w:fldCharType="separate"/>
      </w:r>
      <w:r>
        <w:rPr>
          <w:rStyle w:val="49"/>
          <w:b/>
        </w:rPr>
        <w:t xml:space="preserve">6.1 </w:t>
      </w:r>
      <w:r>
        <w:rPr>
          <w:rStyle w:val="49"/>
          <w:rFonts w:hint="eastAsia"/>
          <w:b/>
        </w:rPr>
        <w:t>验收监测工作内容</w:t>
      </w:r>
      <w:r>
        <w:tab/>
      </w:r>
      <w:r>
        <w:fldChar w:fldCharType="begin"/>
      </w:r>
      <w:r>
        <w:instrText xml:space="preserve"> PAGEREF _Toc50707425 \h </w:instrText>
      </w:r>
      <w:r>
        <w:fldChar w:fldCharType="separate"/>
      </w:r>
      <w:r>
        <w:t>41</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"_Toc50707426" </w:instrText>
      </w:r>
      <w:r>
        <w:fldChar w:fldCharType="separate"/>
      </w:r>
      <w:r>
        <w:rPr>
          <w:rStyle w:val="49"/>
          <w:b/>
        </w:rPr>
        <w:t>6.2</w:t>
      </w:r>
      <w:r>
        <w:rPr>
          <w:rStyle w:val="49"/>
          <w:rFonts w:hint="eastAsia"/>
          <w:b/>
        </w:rPr>
        <w:t>验收监测分析方法</w:t>
      </w:r>
      <w:r>
        <w:tab/>
      </w:r>
      <w:r>
        <w:fldChar w:fldCharType="begin"/>
      </w:r>
      <w:r>
        <w:instrText xml:space="preserve"> PAGEREF _Toc50707426 \h </w:instrText>
      </w:r>
      <w:r>
        <w:fldChar w:fldCharType="separate"/>
      </w:r>
      <w:r>
        <w:t>41</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"_Toc50707427" </w:instrText>
      </w:r>
      <w:r>
        <w:fldChar w:fldCharType="separate"/>
      </w:r>
      <w:r>
        <w:rPr>
          <w:rStyle w:val="49"/>
        </w:rPr>
        <w:t>7</w:t>
      </w:r>
      <w:r>
        <w:rPr>
          <w:rStyle w:val="49"/>
          <w:rFonts w:hint="eastAsia"/>
        </w:rPr>
        <w:t>监测结果与分析评价</w:t>
      </w:r>
      <w:r>
        <w:tab/>
      </w:r>
      <w:r>
        <w:fldChar w:fldCharType="begin"/>
      </w:r>
      <w:r>
        <w:instrText xml:space="preserve"> PAGEREF _Toc50707427 \h </w:instrText>
      </w:r>
      <w:r>
        <w:fldChar w:fldCharType="separate"/>
      </w:r>
      <w:r>
        <w:t>44</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"_Toc50707428" </w:instrText>
      </w:r>
      <w:r>
        <w:fldChar w:fldCharType="separate"/>
      </w:r>
      <w:r>
        <w:rPr>
          <w:rStyle w:val="49"/>
          <w:b/>
        </w:rPr>
        <w:t xml:space="preserve">7.1 </w:t>
      </w:r>
      <w:r>
        <w:rPr>
          <w:rStyle w:val="49"/>
          <w:rFonts w:hint="eastAsia"/>
          <w:b/>
        </w:rPr>
        <w:t>监测期间工况分析</w:t>
      </w:r>
      <w:r>
        <w:tab/>
      </w:r>
      <w:r>
        <w:fldChar w:fldCharType="begin"/>
      </w:r>
      <w:r>
        <w:instrText xml:space="preserve"> PAGEREF _Toc50707428 \h </w:instrText>
      </w:r>
      <w:r>
        <w:fldChar w:fldCharType="separate"/>
      </w:r>
      <w:r>
        <w:t>44</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"_Toc50707429" </w:instrText>
      </w:r>
      <w:r>
        <w:fldChar w:fldCharType="separate"/>
      </w:r>
      <w:r>
        <w:rPr>
          <w:rStyle w:val="49"/>
          <w:b/>
        </w:rPr>
        <w:t>7.2</w:t>
      </w:r>
      <w:r>
        <w:rPr>
          <w:rStyle w:val="49"/>
          <w:rFonts w:hint="eastAsia"/>
          <w:b/>
        </w:rPr>
        <w:t>质量保证和质量控制</w:t>
      </w:r>
      <w:r>
        <w:tab/>
      </w:r>
      <w:r>
        <w:fldChar w:fldCharType="begin"/>
      </w:r>
      <w:r>
        <w:instrText xml:space="preserve"> PAGEREF _Toc50707429 \h </w:instrText>
      </w:r>
      <w:r>
        <w:fldChar w:fldCharType="separate"/>
      </w:r>
      <w:r>
        <w:t>44</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"_Toc50707430" </w:instrText>
      </w:r>
      <w:r>
        <w:fldChar w:fldCharType="separate"/>
      </w:r>
      <w:r>
        <w:rPr>
          <w:rStyle w:val="49"/>
          <w:b/>
        </w:rPr>
        <w:t>7.3</w:t>
      </w:r>
      <w:r>
        <w:rPr>
          <w:rStyle w:val="49"/>
          <w:rFonts w:hint="eastAsia"/>
          <w:b/>
        </w:rPr>
        <w:t>项目污染源排放监测结果及分析评价</w:t>
      </w:r>
      <w:r>
        <w:tab/>
      </w:r>
      <w:r>
        <w:fldChar w:fldCharType="begin"/>
      </w:r>
      <w:r>
        <w:instrText xml:space="preserve"> PAGEREF _Toc50707430 \h </w:instrText>
      </w:r>
      <w:r>
        <w:fldChar w:fldCharType="separate"/>
      </w:r>
      <w:r>
        <w:t>44</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"_Toc50707431" </w:instrText>
      </w:r>
      <w:r>
        <w:fldChar w:fldCharType="separate"/>
      </w:r>
      <w:r>
        <w:rPr>
          <w:rStyle w:val="49"/>
        </w:rPr>
        <w:t>7.3.1</w:t>
      </w:r>
      <w:r>
        <w:rPr>
          <w:rStyle w:val="49"/>
          <w:rFonts w:hint="eastAsia"/>
        </w:rPr>
        <w:t>废气监测结果及分析评价</w:t>
      </w:r>
      <w:r>
        <w:tab/>
      </w:r>
      <w:r>
        <w:fldChar w:fldCharType="begin"/>
      </w:r>
      <w:r>
        <w:instrText xml:space="preserve"> PAGEREF _Toc50707431 \h </w:instrText>
      </w:r>
      <w:r>
        <w:fldChar w:fldCharType="separate"/>
      </w:r>
      <w:r>
        <w:t>44</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"_Toc50707432" </w:instrText>
      </w:r>
      <w:r>
        <w:fldChar w:fldCharType="separate"/>
      </w:r>
      <w:r>
        <w:rPr>
          <w:rStyle w:val="49"/>
        </w:rPr>
        <w:t>7.3.2</w:t>
      </w:r>
      <w:r>
        <w:rPr>
          <w:rStyle w:val="49"/>
          <w:rFonts w:hint="eastAsia"/>
        </w:rPr>
        <w:t>噪声监测结果及分析评价</w:t>
      </w:r>
      <w:r>
        <w:tab/>
      </w:r>
      <w:r>
        <w:fldChar w:fldCharType="begin"/>
      </w:r>
      <w:r>
        <w:instrText xml:space="preserve"> PAGEREF _Toc50707432 \h </w:instrText>
      </w:r>
      <w:r>
        <w:fldChar w:fldCharType="separate"/>
      </w:r>
      <w:r>
        <w:t>48</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"_Toc50707433" </w:instrText>
      </w:r>
      <w:r>
        <w:fldChar w:fldCharType="separate"/>
      </w:r>
      <w:r>
        <w:rPr>
          <w:rStyle w:val="49"/>
        </w:rPr>
        <w:t>7.3.3</w:t>
      </w:r>
      <w:r>
        <w:rPr>
          <w:rStyle w:val="49"/>
          <w:rFonts w:hint="eastAsia"/>
        </w:rPr>
        <w:t>地下水监测结果及分析评价</w:t>
      </w:r>
      <w:r>
        <w:tab/>
      </w:r>
      <w:r>
        <w:fldChar w:fldCharType="begin"/>
      </w:r>
      <w:r>
        <w:instrText xml:space="preserve"> PAGEREF _Toc50707433 \h </w:instrText>
      </w:r>
      <w:r>
        <w:fldChar w:fldCharType="separate"/>
      </w:r>
      <w:r>
        <w:t>49</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"_Toc50707434" </w:instrText>
      </w:r>
      <w:r>
        <w:fldChar w:fldCharType="separate"/>
      </w:r>
      <w:r>
        <w:rPr>
          <w:rStyle w:val="49"/>
        </w:rPr>
        <w:t>7.3.4</w:t>
      </w:r>
      <w:r>
        <w:rPr>
          <w:rStyle w:val="49"/>
          <w:rFonts w:hint="eastAsia"/>
        </w:rPr>
        <w:t>废水监测结果及分析评价</w:t>
      </w:r>
      <w:r>
        <w:tab/>
      </w:r>
      <w:r>
        <w:fldChar w:fldCharType="begin"/>
      </w:r>
      <w:r>
        <w:instrText xml:space="preserve"> PAGEREF _Toc50707434 \h </w:instrText>
      </w:r>
      <w:r>
        <w:fldChar w:fldCharType="separate"/>
      </w:r>
      <w:r>
        <w:t>50</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"_Toc50707435" </w:instrText>
      </w:r>
      <w:r>
        <w:fldChar w:fldCharType="separate"/>
      </w:r>
      <w:r>
        <w:rPr>
          <w:rStyle w:val="49"/>
        </w:rPr>
        <w:t>8</w:t>
      </w:r>
      <w:r>
        <w:rPr>
          <w:rStyle w:val="49"/>
          <w:rFonts w:hint="eastAsia"/>
        </w:rPr>
        <w:t>环境管理情况检查</w:t>
      </w:r>
      <w:r>
        <w:tab/>
      </w:r>
      <w:r>
        <w:fldChar w:fldCharType="begin"/>
      </w:r>
      <w:r>
        <w:instrText xml:space="preserve"> PAGEREF _Toc50707435 \h </w:instrText>
      </w:r>
      <w:r>
        <w:fldChar w:fldCharType="separate"/>
      </w:r>
      <w:r>
        <w:t>52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"_Toc50707436" </w:instrText>
      </w:r>
      <w:r>
        <w:fldChar w:fldCharType="separate"/>
      </w:r>
      <w:r>
        <w:rPr>
          <w:rStyle w:val="49"/>
          <w:b/>
        </w:rPr>
        <w:t xml:space="preserve">8.1 </w:t>
      </w:r>
      <w:r>
        <w:rPr>
          <w:rStyle w:val="49"/>
          <w:rFonts w:hint="eastAsia"/>
          <w:b/>
        </w:rPr>
        <w:t>建设项目环境管理制度执行情况</w:t>
      </w:r>
      <w:r>
        <w:tab/>
      </w:r>
      <w:r>
        <w:fldChar w:fldCharType="begin"/>
      </w:r>
      <w:r>
        <w:instrText xml:space="preserve"> PAGEREF _Toc50707436 \h </w:instrText>
      </w:r>
      <w:r>
        <w:fldChar w:fldCharType="separate"/>
      </w:r>
      <w:r>
        <w:t>52</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"_Toc50707437" </w:instrText>
      </w:r>
      <w:r>
        <w:fldChar w:fldCharType="separate"/>
      </w:r>
      <w:r>
        <w:rPr>
          <w:rStyle w:val="49"/>
        </w:rPr>
        <w:t>8.1.1</w:t>
      </w:r>
      <w:r>
        <w:rPr>
          <w:rStyle w:val="49"/>
          <w:rFonts w:hint="eastAsia"/>
        </w:rPr>
        <w:t>环境影响评价制度</w:t>
      </w:r>
      <w:r>
        <w:tab/>
      </w:r>
      <w:r>
        <w:fldChar w:fldCharType="begin"/>
      </w:r>
      <w:r>
        <w:instrText xml:space="preserve"> PAGEREF _Toc50707437 \h </w:instrText>
      </w:r>
      <w:r>
        <w:fldChar w:fldCharType="separate"/>
      </w:r>
      <w:r>
        <w:t>52</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"_Toc50707438" </w:instrText>
      </w:r>
      <w:r>
        <w:fldChar w:fldCharType="separate"/>
      </w:r>
      <w:r>
        <w:rPr>
          <w:rStyle w:val="49"/>
        </w:rPr>
        <w:t>8.1.2</w:t>
      </w:r>
      <w:r>
        <w:rPr>
          <w:rStyle w:val="49"/>
          <w:rFonts w:hint="eastAsia"/>
        </w:rPr>
        <w:t>环境保护</w:t>
      </w:r>
      <w:r>
        <w:rPr>
          <w:rStyle w:val="49"/>
        </w:rPr>
        <w:t>“</w:t>
      </w:r>
      <w:r>
        <w:rPr>
          <w:rStyle w:val="49"/>
          <w:rFonts w:hint="eastAsia"/>
        </w:rPr>
        <w:t>三同时</w:t>
      </w:r>
      <w:r>
        <w:rPr>
          <w:rStyle w:val="49"/>
        </w:rPr>
        <w:t>”</w:t>
      </w:r>
      <w:r>
        <w:rPr>
          <w:rStyle w:val="49"/>
          <w:rFonts w:hint="eastAsia"/>
        </w:rPr>
        <w:t>制度</w:t>
      </w:r>
      <w:r>
        <w:tab/>
      </w:r>
      <w:r>
        <w:fldChar w:fldCharType="begin"/>
      </w:r>
      <w:r>
        <w:instrText xml:space="preserve"> PAGEREF _Toc50707438 \h </w:instrText>
      </w:r>
      <w:r>
        <w:fldChar w:fldCharType="separate"/>
      </w:r>
      <w:r>
        <w:t>52</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"_Toc50707439" </w:instrText>
      </w:r>
      <w:r>
        <w:fldChar w:fldCharType="separate"/>
      </w:r>
      <w:r>
        <w:rPr>
          <w:rStyle w:val="49"/>
        </w:rPr>
        <w:t>8.1.3</w:t>
      </w:r>
      <w:r>
        <w:rPr>
          <w:rStyle w:val="49"/>
          <w:rFonts w:hint="eastAsia"/>
        </w:rPr>
        <w:t>竣工环境保护验收制度</w:t>
      </w:r>
      <w:r>
        <w:tab/>
      </w:r>
      <w:r>
        <w:fldChar w:fldCharType="begin"/>
      </w:r>
      <w:r>
        <w:instrText xml:space="preserve"> PAGEREF _Toc50707439 \h </w:instrText>
      </w:r>
      <w:r>
        <w:fldChar w:fldCharType="separate"/>
      </w:r>
      <w:r>
        <w:t>52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"_Toc50707440" </w:instrText>
      </w:r>
      <w:r>
        <w:fldChar w:fldCharType="separate"/>
      </w:r>
      <w:r>
        <w:rPr>
          <w:rStyle w:val="49"/>
          <w:b/>
        </w:rPr>
        <w:t xml:space="preserve">8.2 </w:t>
      </w:r>
      <w:r>
        <w:rPr>
          <w:rStyle w:val="49"/>
          <w:rFonts w:hint="eastAsia"/>
          <w:b/>
        </w:rPr>
        <w:t>环保机构、环境管理规章制度</w:t>
      </w:r>
      <w:r>
        <w:tab/>
      </w:r>
      <w:r>
        <w:fldChar w:fldCharType="begin"/>
      </w:r>
      <w:r>
        <w:instrText xml:space="preserve"> PAGEREF _Toc50707440 \h </w:instrText>
      </w:r>
      <w:r>
        <w:fldChar w:fldCharType="separate"/>
      </w:r>
      <w:r>
        <w:t>52</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"_Toc50707441" </w:instrText>
      </w:r>
      <w:r>
        <w:fldChar w:fldCharType="separate"/>
      </w:r>
      <w:r>
        <w:rPr>
          <w:rStyle w:val="49"/>
          <w:b/>
        </w:rPr>
        <w:t xml:space="preserve">8.3 </w:t>
      </w:r>
      <w:r>
        <w:rPr>
          <w:rStyle w:val="49"/>
          <w:rFonts w:hint="eastAsia"/>
          <w:b/>
        </w:rPr>
        <w:t>环境污染风险与应急措施检查</w:t>
      </w:r>
      <w:r>
        <w:tab/>
      </w:r>
      <w:r>
        <w:fldChar w:fldCharType="begin"/>
      </w:r>
      <w:r>
        <w:instrText xml:space="preserve"> PAGEREF _Toc50707441 \h </w:instrText>
      </w:r>
      <w:r>
        <w:fldChar w:fldCharType="separate"/>
      </w:r>
      <w:r>
        <w:t>53</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"_Toc50707442" </w:instrText>
      </w:r>
      <w:r>
        <w:fldChar w:fldCharType="separate"/>
      </w:r>
      <w:r>
        <w:rPr>
          <w:rStyle w:val="49"/>
          <w:b/>
        </w:rPr>
        <w:t xml:space="preserve">8.4 </w:t>
      </w:r>
      <w:r>
        <w:rPr>
          <w:rStyle w:val="49"/>
          <w:rFonts w:hint="eastAsia"/>
          <w:b/>
        </w:rPr>
        <w:t>环保设施运行检查</w:t>
      </w:r>
      <w:r>
        <w:tab/>
      </w:r>
      <w:r>
        <w:fldChar w:fldCharType="begin"/>
      </w:r>
      <w:r>
        <w:instrText xml:space="preserve"> PAGEREF _Toc50707442 \h </w:instrText>
      </w:r>
      <w:r>
        <w:fldChar w:fldCharType="separate"/>
      </w:r>
      <w:r>
        <w:t>53</w:t>
      </w:r>
      <w:r>
        <w:fldChar w:fldCharType="end"/>
      </w:r>
      <w:r>
        <w:fldChar w:fldCharType="end"/>
      </w:r>
    </w:p>
    <w:p>
      <w:pPr>
        <w:pStyle w:val="27"/>
        <w:tabs>
          <w:tab w:val="right" w:leader="dot" w:pos="8482"/>
        </w:tabs>
        <w:rPr>
          <w:rFonts w:asciiTheme="minorHAnsi" w:hAnsiTheme="minorHAnsi" w:eastAsiaTheme="minorEastAsia" w:cstheme="minorBidi"/>
          <w:szCs w:val="22"/>
        </w:rPr>
      </w:pPr>
      <w:r>
        <w:fldChar w:fldCharType="begin"/>
      </w:r>
      <w:r>
        <w:instrText xml:space="preserve"> HYPERLINK \l "_Toc50707443" </w:instrText>
      </w:r>
      <w:r>
        <w:fldChar w:fldCharType="separate"/>
      </w:r>
      <w:r>
        <w:rPr>
          <w:rStyle w:val="49"/>
        </w:rPr>
        <w:t xml:space="preserve">9 </w:t>
      </w:r>
      <w:r>
        <w:rPr>
          <w:rStyle w:val="49"/>
          <w:rFonts w:hint="eastAsia"/>
        </w:rPr>
        <w:t>结论与建议</w:t>
      </w:r>
      <w:r>
        <w:tab/>
      </w:r>
      <w:r>
        <w:fldChar w:fldCharType="begin"/>
      </w:r>
      <w:r>
        <w:instrText xml:space="preserve"> PAGEREF _Toc50707443 \h </w:instrText>
      </w:r>
      <w:r>
        <w:fldChar w:fldCharType="separate"/>
      </w:r>
      <w:r>
        <w:t>54</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"_Toc50707444" </w:instrText>
      </w:r>
      <w:r>
        <w:fldChar w:fldCharType="separate"/>
      </w:r>
      <w:r>
        <w:rPr>
          <w:rStyle w:val="49"/>
          <w:b/>
        </w:rPr>
        <w:t>9.1</w:t>
      </w:r>
      <w:r>
        <w:rPr>
          <w:rStyle w:val="49"/>
          <w:rFonts w:hint="eastAsia"/>
          <w:b/>
        </w:rPr>
        <w:t>验收结论</w:t>
      </w:r>
      <w:r>
        <w:tab/>
      </w:r>
      <w:r>
        <w:fldChar w:fldCharType="begin"/>
      </w:r>
      <w:r>
        <w:instrText xml:space="preserve"> PAGEREF _Toc50707444 \h </w:instrText>
      </w:r>
      <w:r>
        <w:fldChar w:fldCharType="separate"/>
      </w:r>
      <w:r>
        <w:t>54</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"_Toc50707445" </w:instrText>
      </w:r>
      <w:r>
        <w:fldChar w:fldCharType="separate"/>
      </w:r>
      <w:r>
        <w:rPr>
          <w:rStyle w:val="49"/>
          <w:rFonts w:hint="eastAsia"/>
        </w:rPr>
        <w:t>污染源排放监测结论</w:t>
      </w:r>
      <w:r>
        <w:tab/>
      </w:r>
      <w:r>
        <w:fldChar w:fldCharType="begin"/>
      </w:r>
      <w:r>
        <w:instrText xml:space="preserve"> PAGEREF _Toc50707445 \h </w:instrText>
      </w:r>
      <w:r>
        <w:fldChar w:fldCharType="separate"/>
      </w:r>
      <w:r>
        <w:t>54</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"_Toc50707446" </w:instrText>
      </w:r>
      <w:r>
        <w:fldChar w:fldCharType="separate"/>
      </w:r>
      <w:r>
        <w:rPr>
          <w:rStyle w:val="49"/>
          <w:rFonts w:hint="eastAsia"/>
        </w:rPr>
        <w:t>污染源排放调查结论</w:t>
      </w:r>
      <w:r>
        <w:tab/>
      </w:r>
      <w:r>
        <w:fldChar w:fldCharType="begin"/>
      </w:r>
      <w:r>
        <w:instrText xml:space="preserve"> PAGEREF _Toc50707446 \h </w:instrText>
      </w:r>
      <w:r>
        <w:fldChar w:fldCharType="separate"/>
      </w:r>
      <w:r>
        <w:t>54</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"_Toc50707447" </w:instrText>
      </w:r>
      <w:r>
        <w:fldChar w:fldCharType="separate"/>
      </w:r>
      <w:r>
        <w:rPr>
          <w:rStyle w:val="49"/>
          <w:rFonts w:hint="eastAsia"/>
        </w:rPr>
        <w:t>环境管理检查</w:t>
      </w:r>
      <w:r>
        <w:tab/>
      </w:r>
      <w:r>
        <w:fldChar w:fldCharType="begin"/>
      </w:r>
      <w:r>
        <w:instrText xml:space="preserve"> PAGEREF _Toc50707447 \h </w:instrText>
      </w:r>
      <w:r>
        <w:fldChar w:fldCharType="separate"/>
      </w:r>
      <w:r>
        <w:t>55</w:t>
      </w:r>
      <w:r>
        <w:fldChar w:fldCharType="end"/>
      </w:r>
      <w:r>
        <w:fldChar w:fldCharType="end"/>
      </w:r>
    </w:p>
    <w:p>
      <w:pPr>
        <w:pStyle w:val="20"/>
        <w:tabs>
          <w:tab w:val="right" w:leader="dot" w:pos="8482"/>
        </w:tabs>
        <w:rPr>
          <w:rFonts w:asciiTheme="minorHAnsi" w:hAnsiTheme="minorHAnsi" w:eastAsiaTheme="minorEastAsia" w:cstheme="minorBidi"/>
          <w:szCs w:val="22"/>
        </w:rPr>
      </w:pPr>
      <w:r>
        <w:fldChar w:fldCharType="begin"/>
      </w:r>
      <w:r>
        <w:instrText xml:space="preserve"> HYPERLINK \l "_Toc50707448" </w:instrText>
      </w:r>
      <w:r>
        <w:fldChar w:fldCharType="separate"/>
      </w:r>
      <w:r>
        <w:rPr>
          <w:rStyle w:val="49"/>
          <w:rFonts w:hint="eastAsia"/>
        </w:rPr>
        <w:t>综合结论</w:t>
      </w:r>
      <w:r>
        <w:tab/>
      </w:r>
      <w:r>
        <w:fldChar w:fldCharType="begin"/>
      </w:r>
      <w:r>
        <w:instrText xml:space="preserve"> PAGEREF _Toc50707448 \h </w:instrText>
      </w:r>
      <w:r>
        <w:fldChar w:fldCharType="separate"/>
      </w:r>
      <w:r>
        <w:t>55</w:t>
      </w:r>
      <w:r>
        <w:fldChar w:fldCharType="end"/>
      </w:r>
      <w:r>
        <w:fldChar w:fldCharType="end"/>
      </w:r>
    </w:p>
    <w:p>
      <w:pPr>
        <w:pStyle w:val="35"/>
        <w:tabs>
          <w:tab w:val="right" w:leader="dot" w:pos="8482"/>
        </w:tabs>
        <w:rPr>
          <w:rFonts w:asciiTheme="minorHAnsi" w:hAnsiTheme="minorHAnsi" w:eastAsiaTheme="minorEastAsia" w:cstheme="minorBidi"/>
          <w:szCs w:val="22"/>
        </w:rPr>
      </w:pPr>
      <w:r>
        <w:fldChar w:fldCharType="begin"/>
      </w:r>
      <w:r>
        <w:instrText xml:space="preserve"> HYPERLINK \l "_Toc50707449" </w:instrText>
      </w:r>
      <w:r>
        <w:fldChar w:fldCharType="separate"/>
      </w:r>
      <w:r>
        <w:rPr>
          <w:rStyle w:val="49"/>
          <w:b/>
        </w:rPr>
        <w:t>9.2</w:t>
      </w:r>
      <w:r>
        <w:rPr>
          <w:rStyle w:val="49"/>
          <w:rFonts w:hint="eastAsia"/>
          <w:b/>
        </w:rPr>
        <w:t>主要建议</w:t>
      </w:r>
      <w:r>
        <w:tab/>
      </w:r>
      <w:r>
        <w:fldChar w:fldCharType="begin"/>
      </w:r>
      <w:r>
        <w:instrText xml:space="preserve"> PAGEREF _Toc50707449 \h </w:instrText>
      </w:r>
      <w:r>
        <w:fldChar w:fldCharType="separate"/>
      </w:r>
      <w:r>
        <w:t>55</w:t>
      </w:r>
      <w:r>
        <w:fldChar w:fldCharType="end"/>
      </w:r>
      <w:r>
        <w:fldChar w:fldCharType="end"/>
      </w:r>
    </w:p>
    <w:p>
      <w:pPr>
        <w:rPr>
          <w:szCs w:val="21"/>
        </w:rPr>
      </w:pPr>
      <w:r>
        <w:rPr>
          <w:szCs w:val="21"/>
        </w:rPr>
        <w:fldChar w:fldCharType="end"/>
      </w:r>
    </w:p>
    <w:p>
      <w:pPr>
        <w:pStyle w:val="3"/>
        <w:spacing w:before="5"/>
        <w:rPr>
          <w:color w:val="auto"/>
          <w:sz w:val="36"/>
        </w:rPr>
      </w:pPr>
    </w:p>
    <w:p>
      <w:pPr>
        <w:pStyle w:val="3"/>
        <w:spacing w:before="5"/>
        <w:rPr>
          <w:color w:val="auto"/>
          <w:sz w:val="36"/>
        </w:rPr>
      </w:pPr>
    </w:p>
    <w:p>
      <w:pPr>
        <w:pStyle w:val="3"/>
        <w:spacing w:before="5"/>
        <w:rPr>
          <w:color w:val="auto"/>
          <w:sz w:val="36"/>
        </w:rPr>
      </w:pPr>
    </w:p>
    <w:p>
      <w:pPr>
        <w:pStyle w:val="3"/>
        <w:spacing w:before="5"/>
        <w:rPr>
          <w:color w:val="auto"/>
          <w:sz w:val="36"/>
        </w:rPr>
      </w:pPr>
    </w:p>
    <w:p>
      <w:pPr>
        <w:pStyle w:val="3"/>
        <w:spacing w:before="5"/>
        <w:rPr>
          <w:color w:val="auto"/>
          <w:sz w:val="36"/>
        </w:rPr>
      </w:pPr>
    </w:p>
    <w:p>
      <w:pPr>
        <w:pStyle w:val="3"/>
        <w:spacing w:before="5"/>
        <w:rPr>
          <w:color w:val="auto"/>
          <w:sz w:val="36"/>
        </w:rPr>
      </w:pPr>
    </w:p>
    <w:p>
      <w:pPr>
        <w:pStyle w:val="3"/>
        <w:spacing w:before="5"/>
        <w:rPr>
          <w:color w:val="auto"/>
          <w:sz w:val="36"/>
        </w:rPr>
      </w:pPr>
    </w:p>
    <w:p>
      <w:pPr>
        <w:pStyle w:val="3"/>
        <w:spacing w:before="5"/>
        <w:rPr>
          <w:color w:val="auto"/>
          <w:sz w:val="36"/>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ind w:left="118"/>
        <w:rPr>
          <w:b/>
          <w:w w:val="95"/>
          <w:sz w:val="28"/>
        </w:rPr>
      </w:pPr>
    </w:p>
    <w:p>
      <w:pPr>
        <w:pStyle w:val="80"/>
        <w:ind w:firstLine="480" w:firstLineChars="200"/>
        <w:rPr>
          <w:rFonts w:hint="eastAsia"/>
          <w:szCs w:val="24"/>
        </w:rPr>
      </w:pPr>
      <w:bookmarkStart w:id="2" w:name="_Toc27390"/>
      <w:bookmarkEnd w:id="2"/>
      <w:bookmarkStart w:id="3" w:name="_Toc186354467"/>
      <w:bookmarkEnd w:id="3"/>
      <w:bookmarkStart w:id="4" w:name="_Toc186354470"/>
      <w:r>
        <w:rPr>
          <w:rFonts w:hint="eastAsia"/>
          <w:szCs w:val="24"/>
        </w:rPr>
        <w:t>晨光院作为国内最早从事氟硅高分子材料技术研究、开发和生产的科技型企业，是国内氟橡胶研究开发实力最强的单位之一，也是军用特种氟橡胶领域的骨干单位之一。为突破-40℃级氟醚橡胶批次稳定性、分子量级分布稳定控制、性能表征等关键技术提供条件支撑，具备-40℃级氟醚橡胶和配套POPVE、MOVE单体的工程化能力；具备-45℃级氟醚橡胶、宽温域氟醚橡胶的科研攻关能力，满足“十三五”期间承担的武器装备研制任务需要，晨光院拟实施“关键材料技术自主化能力建设项目”。本项目分为4个部分，包括：①MOVE关键单体工程化研究条件建设；②POPVE关键单体工程化研究条件建设；③氟橡胶聚合及后处理关键共性技术研发条件建设；④质检中心改造。其中，①~③项（以上简称“中试装置部分”）均在位于晨光工业园区的晨光生产基地实施，质检中心改造（以上简称“质检部分”）位于富顺县南部的晨光研究设计院实施。</w:t>
      </w:r>
    </w:p>
    <w:p>
      <w:pPr>
        <w:pStyle w:val="80"/>
        <w:ind w:firstLine="480" w:firstLineChars="200"/>
        <w:rPr>
          <w:szCs w:val="24"/>
        </w:rPr>
      </w:pPr>
      <w:r>
        <w:rPr>
          <w:rFonts w:hint="eastAsia"/>
          <w:szCs w:val="24"/>
          <w:lang w:eastAsia="zh-CN"/>
        </w:rPr>
        <w:t>四川省环科源科技有限公司</w:t>
      </w:r>
      <w:r>
        <w:rPr>
          <w:szCs w:val="24"/>
        </w:rPr>
        <w:t>于201</w:t>
      </w:r>
      <w:r>
        <w:rPr>
          <w:rFonts w:hint="eastAsia"/>
          <w:szCs w:val="24"/>
          <w:lang w:val="en-US" w:eastAsia="zh-CN"/>
        </w:rPr>
        <w:t>4</w:t>
      </w:r>
      <w:r>
        <w:rPr>
          <w:szCs w:val="24"/>
        </w:rPr>
        <w:t>年</w:t>
      </w:r>
      <w:r>
        <w:rPr>
          <w:rFonts w:hint="eastAsia"/>
          <w:szCs w:val="24"/>
          <w:lang w:val="en-US" w:eastAsia="zh-CN"/>
        </w:rPr>
        <w:t>10</w:t>
      </w:r>
      <w:r>
        <w:rPr>
          <w:szCs w:val="24"/>
        </w:rPr>
        <w:t>月编制完成了《</w:t>
      </w:r>
      <w:r>
        <w:rPr>
          <w:rFonts w:hint="eastAsia"/>
          <w:szCs w:val="24"/>
          <w:lang w:eastAsia="zh-CN"/>
        </w:rPr>
        <w:t>关键材料技术自主化能力建设项目</w:t>
      </w:r>
      <w:r>
        <w:rPr>
          <w:szCs w:val="24"/>
        </w:rPr>
        <w:t>环境影响报告书》。201</w:t>
      </w:r>
      <w:r>
        <w:rPr>
          <w:rFonts w:hint="eastAsia"/>
          <w:szCs w:val="24"/>
          <w:lang w:val="en-US" w:eastAsia="zh-CN"/>
        </w:rPr>
        <w:t>7</w:t>
      </w:r>
      <w:r>
        <w:rPr>
          <w:szCs w:val="24"/>
        </w:rPr>
        <w:t>年</w:t>
      </w:r>
      <w:r>
        <w:rPr>
          <w:rFonts w:hint="eastAsia"/>
          <w:szCs w:val="24"/>
          <w:lang w:val="en-US" w:eastAsia="zh-CN"/>
        </w:rPr>
        <w:t>6</w:t>
      </w:r>
      <w:r>
        <w:rPr>
          <w:szCs w:val="24"/>
        </w:rPr>
        <w:t>月2</w:t>
      </w:r>
      <w:r>
        <w:rPr>
          <w:rFonts w:hint="eastAsia"/>
          <w:szCs w:val="24"/>
          <w:lang w:val="en-US" w:eastAsia="zh-CN"/>
        </w:rPr>
        <w:t>0</w:t>
      </w:r>
      <w:r>
        <w:rPr>
          <w:szCs w:val="24"/>
        </w:rPr>
        <w:t>日，</w:t>
      </w:r>
      <w:r>
        <w:rPr>
          <w:rFonts w:hint="eastAsia"/>
          <w:szCs w:val="24"/>
          <w:lang w:eastAsia="zh-CN"/>
        </w:rPr>
        <w:t>自贡市生态环境局</w:t>
      </w:r>
      <w:r>
        <w:rPr>
          <w:szCs w:val="24"/>
        </w:rPr>
        <w:t>以</w:t>
      </w:r>
      <w:r>
        <w:rPr>
          <w:rFonts w:hint="eastAsia"/>
          <w:szCs w:val="24"/>
          <w:lang w:eastAsia="zh-CN"/>
        </w:rPr>
        <w:t>自环项批[2017]12号</w:t>
      </w:r>
      <w:r>
        <w:rPr>
          <w:szCs w:val="24"/>
        </w:rPr>
        <w:t>对本项目环境影响报告书进行了批</w:t>
      </w:r>
      <w:r>
        <w:rPr>
          <w:rFonts w:hint="eastAsia"/>
          <w:szCs w:val="24"/>
          <w:lang w:eastAsia="zh-CN"/>
        </w:rPr>
        <w:t>复，目前已建设完成</w:t>
      </w:r>
      <w:r>
        <w:rPr>
          <w:szCs w:val="24"/>
        </w:rPr>
        <w:t>。</w:t>
      </w:r>
    </w:p>
    <w:p>
      <w:pPr>
        <w:pStyle w:val="80"/>
        <w:ind w:firstLine="480" w:firstLineChars="200"/>
        <w:rPr>
          <w:szCs w:val="24"/>
        </w:rPr>
      </w:pPr>
      <w:r>
        <w:rPr>
          <w:szCs w:val="24"/>
        </w:rPr>
        <w:t>根据《中华人民共和国环境保护法》及《建设项目竣工环境保护验收管理办法》（国家环保总局第13号令）等有关规定，按照环境保护设施与主体工程同时设计、同时施工、同时投入使用的“三同时”制度的要求，需查清工程在施工过程中对环境影响报告书和工程设计文件所提出的环境保护措施和建议的落实情况，分析该项目在建设和试运营期间对环境已造成的实际影响及可能存在的潜在影响，以便采取有效的环境保护补救措施，全面做好环境保护工作，为工程竣工环境保护验收提供依据。</w:t>
      </w:r>
    </w:p>
    <w:p>
      <w:pPr>
        <w:pStyle w:val="80"/>
        <w:ind w:firstLine="480" w:firstLineChars="200"/>
        <w:rPr>
          <w:szCs w:val="24"/>
        </w:rPr>
      </w:pPr>
      <w:r>
        <w:rPr>
          <w:szCs w:val="24"/>
        </w:rPr>
        <w:t>202</w:t>
      </w:r>
      <w:r>
        <w:rPr>
          <w:rFonts w:hint="eastAsia"/>
          <w:szCs w:val="24"/>
          <w:lang w:val="en-US" w:eastAsia="zh-CN"/>
        </w:rPr>
        <w:t>2</w:t>
      </w:r>
      <w:r>
        <w:rPr>
          <w:szCs w:val="24"/>
        </w:rPr>
        <w:t>年</w:t>
      </w:r>
      <w:r>
        <w:rPr>
          <w:rFonts w:hint="eastAsia"/>
          <w:szCs w:val="24"/>
          <w:lang w:val="en-US" w:eastAsia="zh-CN"/>
        </w:rPr>
        <w:t>9</w:t>
      </w:r>
      <w:r>
        <w:rPr>
          <w:szCs w:val="24"/>
        </w:rPr>
        <w:t>月</w:t>
      </w:r>
      <w:r>
        <w:rPr>
          <w:rFonts w:hint="eastAsia"/>
          <w:szCs w:val="24"/>
        </w:rPr>
        <w:t>中昊晨光化工研究院有限公司</w:t>
      </w:r>
      <w:r>
        <w:rPr>
          <w:rFonts w:hint="eastAsia"/>
          <w:szCs w:val="24"/>
          <w:lang w:eastAsia="zh-CN"/>
        </w:rPr>
        <w:t>开始</w:t>
      </w:r>
      <w:r>
        <w:rPr>
          <w:szCs w:val="24"/>
        </w:rPr>
        <w:t>进行该项目竣工环境保护验收工作。经现场勘察及环境管理初步检查，项目营运及环保设施运行状况正常。在现场勘查、相关资料收集查阅及工艺分析的基础上编制了该项目竣工《环境保护验收监测方案》，按照监测方案，202</w:t>
      </w:r>
      <w:r>
        <w:rPr>
          <w:rFonts w:hint="eastAsia"/>
          <w:szCs w:val="24"/>
          <w:lang w:val="en-US" w:eastAsia="zh-CN"/>
        </w:rPr>
        <w:t>2</w:t>
      </w:r>
      <w:r>
        <w:rPr>
          <w:szCs w:val="24"/>
        </w:rPr>
        <w:t>年</w:t>
      </w:r>
      <w:r>
        <w:rPr>
          <w:rFonts w:hint="eastAsia"/>
          <w:szCs w:val="24"/>
          <w:lang w:val="en-US" w:eastAsia="zh-CN"/>
        </w:rPr>
        <w:t>10</w:t>
      </w:r>
      <w:r>
        <w:rPr>
          <w:rFonts w:hint="eastAsia"/>
          <w:szCs w:val="24"/>
        </w:rPr>
        <w:t>月</w:t>
      </w:r>
      <w:r>
        <w:rPr>
          <w:rFonts w:hint="eastAsia"/>
          <w:szCs w:val="24"/>
          <w:lang w:val="en-US" w:eastAsia="zh-CN"/>
        </w:rPr>
        <w:t>11</w:t>
      </w:r>
      <w:r>
        <w:rPr>
          <w:szCs w:val="24"/>
        </w:rPr>
        <w:t>日~</w:t>
      </w:r>
      <w:r>
        <w:rPr>
          <w:rFonts w:hint="eastAsia"/>
          <w:szCs w:val="24"/>
          <w:lang w:val="en-US" w:eastAsia="zh-CN"/>
        </w:rPr>
        <w:t>12</w:t>
      </w:r>
      <w:r>
        <w:rPr>
          <w:szCs w:val="24"/>
        </w:rPr>
        <w:t>日对验收项目实施了现场监测及环境管理检查，依据验收监测及环境管理检查结果编制本验收监测报告。</w:t>
      </w:r>
    </w:p>
    <w:p>
      <w:pPr>
        <w:pStyle w:val="4"/>
        <w:spacing w:before="120" w:after="120"/>
        <w:rPr>
          <w:rFonts w:eastAsia="宋体"/>
        </w:rPr>
      </w:pPr>
      <w:bookmarkStart w:id="5" w:name="_Toc50707387"/>
      <w:r>
        <w:rPr>
          <w:rFonts w:eastAsia="宋体"/>
        </w:rPr>
        <w:t>1  验收依据</w:t>
      </w:r>
      <w:bookmarkEnd w:id="5"/>
    </w:p>
    <w:p>
      <w:pPr>
        <w:pStyle w:val="5"/>
        <w:spacing w:before="120" w:after="120"/>
        <w:rPr>
          <w:rFonts w:ascii="Times New Roman" w:hAnsi="Times New Roman" w:eastAsia="宋体"/>
          <w:b/>
        </w:rPr>
      </w:pPr>
      <w:bookmarkStart w:id="6" w:name="1.1_验收报告编制依据"/>
      <w:bookmarkEnd w:id="6"/>
      <w:bookmarkStart w:id="7" w:name="_bookmark2"/>
      <w:bookmarkEnd w:id="7"/>
      <w:bookmarkStart w:id="8" w:name="_Toc50707388"/>
      <w:r>
        <w:rPr>
          <w:rFonts w:hint="eastAsia" w:ascii="Times New Roman" w:hAnsi="Times New Roman" w:eastAsia="宋体"/>
          <w:b/>
        </w:rPr>
        <w:t>1</w:t>
      </w:r>
      <w:r>
        <w:rPr>
          <w:rFonts w:ascii="Times New Roman" w:hAnsi="Times New Roman" w:eastAsia="宋体"/>
          <w:b/>
        </w:rPr>
        <w:t>.1验收报告编制依据</w:t>
      </w:r>
      <w:bookmarkEnd w:id="8"/>
    </w:p>
    <w:p>
      <w:pPr>
        <w:pStyle w:val="6"/>
      </w:pPr>
      <w:bookmarkStart w:id="9" w:name="_Toc50707389"/>
      <w:r>
        <w:rPr>
          <w:rFonts w:hint="eastAsia"/>
        </w:rPr>
        <w:t>1</w:t>
      </w:r>
      <w:r>
        <w:t>.1.1环保法规及政策</w:t>
      </w:r>
      <w:bookmarkEnd w:id="9"/>
    </w:p>
    <w:p>
      <w:pPr>
        <w:spacing w:line="360" w:lineRule="auto"/>
        <w:ind w:firstLine="480" w:firstLineChars="200"/>
        <w:rPr>
          <w:sz w:val="24"/>
        </w:rPr>
      </w:pPr>
      <w:r>
        <w:rPr>
          <w:sz w:val="24"/>
        </w:rPr>
        <w:t>（1）《中华人民共和国环境保护法》（2015.1.1）；</w:t>
      </w:r>
    </w:p>
    <w:p>
      <w:pPr>
        <w:spacing w:line="360" w:lineRule="auto"/>
        <w:ind w:firstLine="480" w:firstLineChars="200"/>
        <w:rPr>
          <w:sz w:val="24"/>
        </w:rPr>
      </w:pPr>
      <w:r>
        <w:rPr>
          <w:sz w:val="24"/>
        </w:rPr>
        <w:t>（2）《中华人民共和国环境噪声污染防治法》（1996.10.29）；</w:t>
      </w:r>
    </w:p>
    <w:p>
      <w:pPr>
        <w:spacing w:line="360" w:lineRule="auto"/>
        <w:ind w:firstLine="480" w:firstLineChars="200"/>
        <w:rPr>
          <w:sz w:val="24"/>
        </w:rPr>
      </w:pPr>
      <w:r>
        <w:rPr>
          <w:sz w:val="24"/>
        </w:rPr>
        <w:t>（3）《中华人民共和国水污染防治法》（2008.2.28）；</w:t>
      </w:r>
    </w:p>
    <w:p>
      <w:pPr>
        <w:spacing w:line="360" w:lineRule="auto"/>
        <w:ind w:firstLine="480" w:firstLineChars="200"/>
        <w:rPr>
          <w:sz w:val="24"/>
        </w:rPr>
      </w:pPr>
      <w:r>
        <w:rPr>
          <w:sz w:val="24"/>
        </w:rPr>
        <w:t>（4）《中华人民共和国大气污染防治法》（2015.8.29）；</w:t>
      </w:r>
    </w:p>
    <w:p>
      <w:pPr>
        <w:spacing w:line="360" w:lineRule="auto"/>
        <w:ind w:firstLine="480" w:firstLineChars="200"/>
        <w:rPr>
          <w:sz w:val="24"/>
        </w:rPr>
      </w:pPr>
      <w:r>
        <w:rPr>
          <w:sz w:val="24"/>
        </w:rPr>
        <w:t>（5）《中华人民共和国固体废物污染环境防治法》（2013.6.29）；</w:t>
      </w:r>
    </w:p>
    <w:p>
      <w:pPr>
        <w:spacing w:line="360" w:lineRule="auto"/>
        <w:ind w:firstLine="480" w:firstLineChars="200"/>
        <w:rPr>
          <w:sz w:val="24"/>
        </w:rPr>
      </w:pPr>
      <w:r>
        <w:rPr>
          <w:sz w:val="24"/>
        </w:rPr>
        <w:t>（6）《中华人民共和国土地管理法》（2004.8.28）；</w:t>
      </w:r>
    </w:p>
    <w:p>
      <w:pPr>
        <w:spacing w:line="360" w:lineRule="auto"/>
        <w:ind w:firstLine="480" w:firstLineChars="200"/>
        <w:rPr>
          <w:sz w:val="24"/>
        </w:rPr>
      </w:pPr>
      <w:r>
        <w:rPr>
          <w:sz w:val="24"/>
        </w:rPr>
        <w:t>（7）《中华人民共和国水土保持法》（2010.12.25）；</w:t>
      </w:r>
    </w:p>
    <w:p>
      <w:pPr>
        <w:spacing w:line="360" w:lineRule="auto"/>
        <w:ind w:firstLine="480" w:firstLineChars="200"/>
        <w:rPr>
          <w:sz w:val="24"/>
        </w:rPr>
      </w:pPr>
      <w:r>
        <w:rPr>
          <w:sz w:val="24"/>
        </w:rPr>
        <w:t>（8）《建设项目环境保护管理条例》（国务院令第253  号，1998.11.29）；</w:t>
      </w:r>
    </w:p>
    <w:p>
      <w:pPr>
        <w:spacing w:line="360" w:lineRule="auto"/>
        <w:ind w:firstLine="480" w:firstLineChars="200"/>
        <w:rPr>
          <w:sz w:val="24"/>
        </w:rPr>
      </w:pPr>
      <w:r>
        <w:rPr>
          <w:sz w:val="24"/>
        </w:rPr>
        <w:t>（9）《建设项目竣工环境保护验收管理办法》（国家环境保护总局第13号令，2001.12.27）；</w:t>
      </w:r>
    </w:p>
    <w:p>
      <w:pPr>
        <w:spacing w:line="360" w:lineRule="auto"/>
        <w:ind w:firstLine="480" w:firstLineChars="200"/>
        <w:rPr>
          <w:sz w:val="24"/>
        </w:rPr>
      </w:pPr>
      <w:r>
        <w:rPr>
          <w:sz w:val="24"/>
        </w:rPr>
        <w:t>（10）《关于建设项目环境保护设施竣工验收监测管理有关问题的通知》（环发[2000]38  号，国家环境保护总局，2000.2.22）；</w:t>
      </w:r>
    </w:p>
    <w:p>
      <w:pPr>
        <w:spacing w:line="360" w:lineRule="auto"/>
        <w:ind w:firstLine="480" w:firstLineChars="200"/>
        <w:rPr>
          <w:sz w:val="24"/>
        </w:rPr>
      </w:pPr>
      <w:r>
        <w:rPr>
          <w:sz w:val="24"/>
        </w:rPr>
        <w:t>（11）《关于进一步加强建设项目竣工环境保护验收监测（调查）工作的通知》（四川省环境保护局，川环发[2006]61号，2006.6.6）；</w:t>
      </w:r>
    </w:p>
    <w:p>
      <w:pPr>
        <w:spacing w:line="360" w:lineRule="auto"/>
        <w:ind w:firstLine="480" w:firstLineChars="200"/>
        <w:rPr>
          <w:sz w:val="24"/>
        </w:rPr>
      </w:pPr>
      <w:r>
        <w:rPr>
          <w:sz w:val="24"/>
        </w:rPr>
        <w:t>（12）《环境保护部建设项目“三同时”监督检查和竣工环保验收管理规程（试行）》（环境保护部，环发[2009]150号）；</w:t>
      </w:r>
    </w:p>
    <w:p>
      <w:pPr>
        <w:spacing w:line="360" w:lineRule="auto"/>
        <w:ind w:firstLine="480" w:firstLineChars="200"/>
        <w:rPr>
          <w:sz w:val="24"/>
        </w:rPr>
      </w:pPr>
      <w:r>
        <w:rPr>
          <w:sz w:val="24"/>
        </w:rPr>
        <w:t>（13）《关于建设项目竣工环境保护验收适用标准有关问题的复函》（国家环境保护总局，环函[2002]222号，2002.8.21）；</w:t>
      </w:r>
    </w:p>
    <w:p>
      <w:pPr>
        <w:spacing w:line="360" w:lineRule="auto"/>
        <w:ind w:firstLine="480" w:firstLineChars="200"/>
        <w:rPr>
          <w:sz w:val="24"/>
        </w:rPr>
      </w:pPr>
      <w:r>
        <w:rPr>
          <w:sz w:val="24"/>
        </w:rPr>
        <w:t>（14）《关于认真做好建设项目竣工环境保护验收监测工作的通知》（四川省环境保护局，川环发[2003]001号，2003.1.7）；</w:t>
      </w:r>
    </w:p>
    <w:p>
      <w:pPr>
        <w:pStyle w:val="6"/>
      </w:pPr>
      <w:bookmarkStart w:id="10" w:name="_Toc50707390"/>
      <w:r>
        <w:rPr>
          <w:rFonts w:hint="eastAsia"/>
        </w:rPr>
        <w:t>1</w:t>
      </w:r>
      <w:r>
        <w:t>.1.2</w:t>
      </w:r>
      <w:r>
        <w:rPr>
          <w:rFonts w:hint="eastAsia"/>
        </w:rPr>
        <w:t>环</w:t>
      </w:r>
      <w:r>
        <w:t>评报告及批复文件</w:t>
      </w:r>
      <w:bookmarkEnd w:id="10"/>
    </w:p>
    <w:p>
      <w:pPr>
        <w:spacing w:line="360" w:lineRule="auto"/>
        <w:ind w:firstLine="480" w:firstLineChars="200"/>
        <w:rPr>
          <w:sz w:val="24"/>
        </w:rPr>
      </w:pPr>
      <w:r>
        <w:rPr>
          <w:sz w:val="24"/>
        </w:rPr>
        <w:t>（1）《</w:t>
      </w:r>
      <w:r>
        <w:rPr>
          <w:rFonts w:hint="eastAsia"/>
          <w:sz w:val="24"/>
          <w:lang w:eastAsia="zh-CN"/>
        </w:rPr>
        <w:t>关键材料技术自主化能力建设项目</w:t>
      </w:r>
      <w:r>
        <w:rPr>
          <w:sz w:val="24"/>
        </w:rPr>
        <w:t>环境影响报告书》，（</w:t>
      </w:r>
      <w:r>
        <w:rPr>
          <w:rFonts w:hint="eastAsia"/>
          <w:sz w:val="24"/>
          <w:lang w:eastAsia="zh-CN"/>
        </w:rPr>
        <w:t>四川省环科源科技有限公司</w:t>
      </w:r>
      <w:r>
        <w:rPr>
          <w:sz w:val="24"/>
        </w:rPr>
        <w:t>，201</w:t>
      </w:r>
      <w:r>
        <w:rPr>
          <w:rFonts w:hint="eastAsia"/>
          <w:sz w:val="24"/>
          <w:lang w:val="en-US" w:eastAsia="zh-CN"/>
        </w:rPr>
        <w:t>4</w:t>
      </w:r>
      <w:r>
        <w:rPr>
          <w:sz w:val="24"/>
        </w:rPr>
        <w:t>年</w:t>
      </w:r>
      <w:r>
        <w:rPr>
          <w:rFonts w:hint="eastAsia"/>
          <w:sz w:val="24"/>
          <w:lang w:val="en-US" w:eastAsia="zh-CN"/>
        </w:rPr>
        <w:t>10</w:t>
      </w:r>
      <w:r>
        <w:rPr>
          <w:sz w:val="24"/>
        </w:rPr>
        <w:t>月）；</w:t>
      </w:r>
    </w:p>
    <w:p>
      <w:pPr>
        <w:spacing w:line="360" w:lineRule="auto"/>
        <w:ind w:firstLine="480" w:firstLineChars="200"/>
        <w:rPr>
          <w:sz w:val="24"/>
        </w:rPr>
      </w:pPr>
      <w:r>
        <w:rPr>
          <w:sz w:val="24"/>
        </w:rPr>
        <w:t>（2）《</w:t>
      </w:r>
      <w:r>
        <w:rPr>
          <w:rFonts w:hint="eastAsia"/>
          <w:sz w:val="24"/>
          <w:lang w:eastAsia="zh-CN"/>
        </w:rPr>
        <w:t>自贡市生态环境局</w:t>
      </w:r>
      <w:r>
        <w:rPr>
          <w:sz w:val="24"/>
        </w:rPr>
        <w:t>关于</w:t>
      </w:r>
      <w:r>
        <w:rPr>
          <w:rFonts w:hint="eastAsia"/>
          <w:sz w:val="24"/>
          <w:lang w:eastAsia="zh-CN"/>
        </w:rPr>
        <w:t>中昊晨光化工研究院有限公司关键材料技术自主化能力建设项目</w:t>
      </w:r>
      <w:r>
        <w:rPr>
          <w:sz w:val="24"/>
        </w:rPr>
        <w:t>环境影响报告书的批复》，（</w:t>
      </w:r>
      <w:r>
        <w:rPr>
          <w:rFonts w:hint="eastAsia"/>
          <w:sz w:val="24"/>
          <w:lang w:eastAsia="zh-CN"/>
        </w:rPr>
        <w:t>自贡市生态环境局</w:t>
      </w:r>
      <w:r>
        <w:rPr>
          <w:sz w:val="24"/>
        </w:rPr>
        <w:t>，</w:t>
      </w:r>
      <w:r>
        <w:rPr>
          <w:rFonts w:hint="eastAsia"/>
          <w:sz w:val="24"/>
          <w:lang w:eastAsia="zh-CN"/>
        </w:rPr>
        <w:t>自环项批[2017]12号</w:t>
      </w:r>
      <w:r>
        <w:rPr>
          <w:sz w:val="24"/>
        </w:rPr>
        <w:t>，201</w:t>
      </w:r>
      <w:r>
        <w:rPr>
          <w:rFonts w:hint="eastAsia"/>
          <w:sz w:val="24"/>
          <w:lang w:val="en-US" w:eastAsia="zh-CN"/>
        </w:rPr>
        <w:t>7</w:t>
      </w:r>
      <w:r>
        <w:rPr>
          <w:sz w:val="24"/>
        </w:rPr>
        <w:t>年</w:t>
      </w:r>
      <w:r>
        <w:rPr>
          <w:rFonts w:hint="eastAsia"/>
          <w:sz w:val="24"/>
          <w:lang w:val="en-US" w:eastAsia="zh-CN"/>
        </w:rPr>
        <w:t>6</w:t>
      </w:r>
      <w:r>
        <w:rPr>
          <w:sz w:val="24"/>
        </w:rPr>
        <w:t>月2</w:t>
      </w:r>
      <w:r>
        <w:rPr>
          <w:rFonts w:hint="eastAsia"/>
          <w:sz w:val="24"/>
          <w:lang w:val="en-US" w:eastAsia="zh-CN"/>
        </w:rPr>
        <w:t>0</w:t>
      </w:r>
      <w:r>
        <w:rPr>
          <w:sz w:val="24"/>
        </w:rPr>
        <w:t>日）。</w:t>
      </w:r>
    </w:p>
    <w:p>
      <w:pPr>
        <w:pStyle w:val="5"/>
        <w:spacing w:before="120" w:after="120"/>
        <w:rPr>
          <w:rFonts w:ascii="Times New Roman" w:hAnsi="Times New Roman" w:eastAsia="宋体"/>
          <w:b/>
        </w:rPr>
      </w:pPr>
      <w:bookmarkStart w:id="11" w:name="1.2验收监测范围、因子"/>
      <w:bookmarkEnd w:id="11"/>
      <w:bookmarkStart w:id="12" w:name="_bookmark3"/>
      <w:bookmarkEnd w:id="12"/>
      <w:bookmarkStart w:id="13" w:name="_Toc50707391"/>
      <w:r>
        <w:rPr>
          <w:rFonts w:hint="eastAsia" w:ascii="Times New Roman" w:hAnsi="Times New Roman" w:eastAsia="宋体"/>
          <w:b/>
        </w:rPr>
        <w:t>1</w:t>
      </w:r>
      <w:r>
        <w:rPr>
          <w:rFonts w:ascii="Times New Roman" w:hAnsi="Times New Roman" w:eastAsia="宋体"/>
          <w:b/>
        </w:rPr>
        <w:t>.2验收监测范围、因子</w:t>
      </w:r>
      <w:bookmarkEnd w:id="13"/>
    </w:p>
    <w:p>
      <w:pPr>
        <w:pStyle w:val="6"/>
      </w:pPr>
      <w:bookmarkStart w:id="14" w:name="_Toc50707392"/>
      <w:r>
        <w:t>1.2.1 监测范围</w:t>
      </w:r>
      <w:bookmarkEnd w:id="14"/>
    </w:p>
    <w:p>
      <w:pPr>
        <w:pStyle w:val="80"/>
        <w:spacing w:line="440" w:lineRule="exact"/>
        <w:ind w:firstLine="480" w:firstLineChars="200"/>
        <w:rPr>
          <w:szCs w:val="24"/>
        </w:rPr>
      </w:pPr>
      <w:r>
        <w:rPr>
          <w:rFonts w:hint="eastAsia"/>
          <w:szCs w:val="24"/>
        </w:rPr>
        <w:t>由于</w:t>
      </w:r>
      <w:r>
        <w:rPr>
          <w:szCs w:val="24"/>
        </w:rPr>
        <w:t>本项目</w:t>
      </w:r>
      <w:r>
        <w:rPr>
          <w:rFonts w:hint="eastAsia"/>
          <w:szCs w:val="24"/>
        </w:rPr>
        <w:t>已建</w:t>
      </w:r>
      <w:r>
        <w:rPr>
          <w:szCs w:val="24"/>
        </w:rPr>
        <w:t>环保设施</w:t>
      </w:r>
      <w:r>
        <w:rPr>
          <w:rFonts w:hint="eastAsia"/>
          <w:szCs w:val="24"/>
        </w:rPr>
        <w:t>目前供</w:t>
      </w:r>
      <w:r>
        <w:rPr>
          <w:rFonts w:hint="eastAsia"/>
          <w:lang w:eastAsia="zh-CN"/>
        </w:rPr>
        <w:t>中昊晨光化工研究院有限公司关键材料技术自主化能力建设项目</w:t>
      </w:r>
      <w:r>
        <w:rPr>
          <w:rFonts w:hint="eastAsia"/>
        </w:rPr>
        <w:t>使用</w:t>
      </w:r>
      <w:r>
        <w:t>，因此</w:t>
      </w:r>
      <w:r>
        <w:rPr>
          <w:szCs w:val="24"/>
        </w:rPr>
        <w:t>本次验收监测范围以</w:t>
      </w:r>
      <w:r>
        <w:rPr>
          <w:rFonts w:hint="eastAsia"/>
          <w:lang w:eastAsia="zh-CN"/>
        </w:rPr>
        <w:t>自贡市生态环境局</w:t>
      </w:r>
      <w:r>
        <w:rPr>
          <w:szCs w:val="24"/>
        </w:rPr>
        <w:t>批复的</w:t>
      </w:r>
      <w:r>
        <w:rPr>
          <w:rFonts w:hint="eastAsia"/>
          <w:lang w:eastAsia="zh-CN"/>
        </w:rPr>
        <w:t>中昊晨光化工研究院有限公司关键材料技术自主化能力建设项目</w:t>
      </w:r>
      <w:r>
        <w:rPr>
          <w:szCs w:val="24"/>
        </w:rPr>
        <w:t>为依据，具体监测范围如下：</w:t>
      </w:r>
    </w:p>
    <w:p>
      <w:pPr>
        <w:pStyle w:val="80"/>
        <w:spacing w:line="440" w:lineRule="exact"/>
        <w:ind w:firstLine="482" w:firstLineChars="200"/>
        <w:rPr>
          <w:b/>
          <w:bCs/>
          <w:szCs w:val="24"/>
        </w:rPr>
      </w:pPr>
      <w:r>
        <w:rPr>
          <w:b/>
          <w:bCs/>
          <w:szCs w:val="24"/>
        </w:rPr>
        <w:t>废气</w:t>
      </w:r>
    </w:p>
    <w:p>
      <w:pPr>
        <w:pStyle w:val="80"/>
        <w:spacing w:line="440" w:lineRule="exact"/>
        <w:ind w:firstLine="480" w:firstLineChars="200"/>
        <w:rPr>
          <w:szCs w:val="24"/>
        </w:rPr>
      </w:pPr>
      <w:r>
        <w:rPr>
          <w:szCs w:val="24"/>
        </w:rPr>
        <w:t>废气监测：</w:t>
      </w:r>
      <w:r>
        <w:rPr>
          <w:rFonts w:hint="eastAsia"/>
          <w:szCs w:val="24"/>
          <w:lang w:eastAsia="zh-CN"/>
        </w:rPr>
        <w:t>颗粒物</w:t>
      </w:r>
      <w:r>
        <w:rPr>
          <w:rFonts w:hint="eastAsia"/>
          <w:szCs w:val="24"/>
        </w:rPr>
        <w:t>、氟化物</w:t>
      </w:r>
      <w:r>
        <w:rPr>
          <w:szCs w:val="24"/>
        </w:rPr>
        <w:t>、</w:t>
      </w:r>
      <w:r>
        <w:rPr>
          <w:rFonts w:hint="eastAsia"/>
          <w:szCs w:val="24"/>
          <w:lang w:eastAsia="zh-CN"/>
        </w:rPr>
        <w:t>非甲烷总烃</w:t>
      </w:r>
      <w:r>
        <w:rPr>
          <w:szCs w:val="24"/>
        </w:rPr>
        <w:t>。</w:t>
      </w:r>
    </w:p>
    <w:p>
      <w:pPr>
        <w:pStyle w:val="80"/>
        <w:spacing w:line="440" w:lineRule="exact"/>
        <w:ind w:firstLine="482" w:firstLineChars="200"/>
        <w:rPr>
          <w:b/>
          <w:bCs/>
          <w:szCs w:val="24"/>
        </w:rPr>
      </w:pPr>
      <w:r>
        <w:rPr>
          <w:b/>
          <w:bCs/>
          <w:szCs w:val="24"/>
        </w:rPr>
        <w:t>厂界噪声</w:t>
      </w:r>
    </w:p>
    <w:p>
      <w:pPr>
        <w:pStyle w:val="80"/>
        <w:spacing w:line="440" w:lineRule="exact"/>
        <w:ind w:firstLine="480" w:firstLineChars="200"/>
        <w:rPr>
          <w:color w:val="0000FF"/>
          <w:szCs w:val="24"/>
        </w:rPr>
      </w:pPr>
      <w:r>
        <w:rPr>
          <w:szCs w:val="24"/>
        </w:rPr>
        <w:t>东南西北厂界监测 2 天，每天各一次昼间及夜间噪</w:t>
      </w:r>
    </w:p>
    <w:p>
      <w:pPr>
        <w:pStyle w:val="5"/>
        <w:spacing w:beforeLines="0" w:afterLines="0"/>
        <w:rPr>
          <w:rFonts w:ascii="Times New Roman" w:hAnsi="Times New Roman" w:eastAsia="宋体"/>
          <w:b/>
        </w:rPr>
      </w:pPr>
      <w:bookmarkStart w:id="15" w:name="_bookmark4"/>
      <w:bookmarkEnd w:id="15"/>
      <w:bookmarkStart w:id="16" w:name="1.3_环境保护目标"/>
      <w:bookmarkEnd w:id="16"/>
      <w:bookmarkStart w:id="17" w:name="_Toc50707393"/>
      <w:r>
        <w:rPr>
          <w:rFonts w:hint="eastAsia" w:ascii="Times New Roman" w:hAnsi="Times New Roman" w:eastAsia="宋体"/>
          <w:b/>
        </w:rPr>
        <w:t>1</w:t>
      </w:r>
      <w:r>
        <w:rPr>
          <w:rFonts w:ascii="Times New Roman" w:hAnsi="Times New Roman" w:eastAsia="宋体"/>
          <w:b/>
        </w:rPr>
        <w:t>.3验收监测工作程序</w:t>
      </w:r>
      <w:bookmarkEnd w:id="17"/>
    </w:p>
    <w:p>
      <w:pPr>
        <w:pStyle w:val="80"/>
        <w:ind w:firstLine="480" w:firstLineChars="200"/>
        <w:rPr>
          <w:szCs w:val="24"/>
        </w:rPr>
      </w:pPr>
      <w:r>
        <w:drawing>
          <wp:anchor distT="0" distB="0" distL="0" distR="0" simplePos="0" relativeHeight="251659264" behindDoc="0" locked="0" layoutInCell="1" allowOverlap="0">
            <wp:simplePos x="0" y="0"/>
            <wp:positionH relativeFrom="page">
              <wp:posOffset>1457325</wp:posOffset>
            </wp:positionH>
            <wp:positionV relativeFrom="paragraph">
              <wp:posOffset>243840</wp:posOffset>
            </wp:positionV>
            <wp:extent cx="4811395" cy="2962275"/>
            <wp:effectExtent l="0" t="0" r="0" b="0"/>
            <wp:wrapNone/>
            <wp:docPr id="19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11395" cy="2962275"/>
                    </a:xfrm>
                    <a:prstGeom prst="rect">
                      <a:avLst/>
                    </a:prstGeom>
                    <a:noFill/>
                  </pic:spPr>
                </pic:pic>
              </a:graphicData>
            </a:graphic>
          </wp:anchor>
        </w:drawing>
      </w:r>
      <w:r>
        <w:rPr>
          <w:szCs w:val="24"/>
        </w:rPr>
        <w:t>本次竣工环境保护验收调查的工作程序见图 1.3-1。</w:t>
      </w:r>
    </w:p>
    <w:p>
      <w:pPr>
        <w:pStyle w:val="24"/>
      </w:pPr>
    </w:p>
    <w:p>
      <w:pPr>
        <w:pStyle w:val="24"/>
      </w:pPr>
    </w:p>
    <w:p>
      <w:pPr>
        <w:pStyle w:val="24"/>
      </w:pPr>
    </w:p>
    <w:p>
      <w:pPr>
        <w:pStyle w:val="24"/>
      </w:pPr>
    </w:p>
    <w:p>
      <w:pPr>
        <w:pStyle w:val="24"/>
      </w:pPr>
    </w:p>
    <w:p>
      <w:pPr>
        <w:pStyle w:val="24"/>
      </w:pPr>
    </w:p>
    <w:p>
      <w:pPr>
        <w:pStyle w:val="24"/>
      </w:pPr>
    </w:p>
    <w:p>
      <w:pPr>
        <w:pStyle w:val="3"/>
        <w:tabs>
          <w:tab w:val="left" w:pos="1039"/>
        </w:tabs>
        <w:spacing w:before="166"/>
        <w:jc w:val="center"/>
        <w:rPr>
          <w:color w:val="auto"/>
          <w:spacing w:val="0"/>
          <w:sz w:val="24"/>
        </w:rPr>
      </w:pPr>
      <w:bookmarkStart w:id="18" w:name="_Hlk36159506"/>
    </w:p>
    <w:p>
      <w:pPr>
        <w:pStyle w:val="3"/>
        <w:tabs>
          <w:tab w:val="left" w:pos="1039"/>
        </w:tabs>
        <w:spacing w:before="166"/>
        <w:jc w:val="center"/>
        <w:rPr>
          <w:color w:val="auto"/>
          <w:spacing w:val="0"/>
          <w:sz w:val="24"/>
        </w:rPr>
      </w:pPr>
      <w:r>
        <w:rPr>
          <w:color w:val="auto"/>
          <w:spacing w:val="0"/>
          <w:sz w:val="24"/>
        </w:rPr>
        <w:t>图 1.3-1</w:t>
      </w:r>
      <w:r>
        <w:rPr>
          <w:color w:val="auto"/>
          <w:spacing w:val="0"/>
          <w:sz w:val="24"/>
        </w:rPr>
        <w:tab/>
      </w:r>
      <w:r>
        <w:rPr>
          <w:color w:val="auto"/>
          <w:spacing w:val="0"/>
          <w:sz w:val="24"/>
        </w:rPr>
        <w:t>竣工环境保护验收工作流程图</w:t>
      </w:r>
    </w:p>
    <w:bookmarkEnd w:id="4"/>
    <w:bookmarkEnd w:id="18"/>
    <w:p>
      <w:pPr>
        <w:pStyle w:val="4"/>
        <w:spacing w:before="120" w:after="120"/>
        <w:rPr>
          <w:rFonts w:eastAsia="宋体"/>
        </w:rPr>
      </w:pPr>
      <w:bookmarkStart w:id="19" w:name="_Toc50707394"/>
      <w:bookmarkStart w:id="20" w:name="_Toc186354510"/>
      <w:bookmarkStart w:id="21" w:name="_Toc6504"/>
      <w:bookmarkStart w:id="22" w:name="_Toc186354493"/>
      <w:r>
        <w:rPr>
          <w:rFonts w:eastAsia="宋体"/>
        </w:rPr>
        <w:t>2 建设项目</w:t>
      </w:r>
      <w:r>
        <w:rPr>
          <w:rFonts w:hint="eastAsia" w:eastAsia="宋体"/>
        </w:rPr>
        <w:t>工程</w:t>
      </w:r>
      <w:r>
        <w:rPr>
          <w:rFonts w:eastAsia="宋体"/>
        </w:rPr>
        <w:t>概况</w:t>
      </w:r>
      <w:bookmarkEnd w:id="19"/>
      <w:bookmarkEnd w:id="20"/>
      <w:bookmarkEnd w:id="21"/>
    </w:p>
    <w:p>
      <w:pPr>
        <w:pStyle w:val="5"/>
        <w:spacing w:before="120" w:after="120"/>
        <w:rPr>
          <w:rFonts w:ascii="Times New Roman" w:hAnsi="Times New Roman" w:eastAsia="宋体"/>
          <w:b/>
        </w:rPr>
      </w:pPr>
      <w:bookmarkStart w:id="23" w:name="_Toc28940"/>
      <w:bookmarkStart w:id="24" w:name="_Toc186354511"/>
      <w:bookmarkStart w:id="25" w:name="_Toc174512885"/>
      <w:bookmarkStart w:id="26" w:name="_Toc50707395"/>
      <w:r>
        <w:rPr>
          <w:rFonts w:ascii="Times New Roman" w:hAnsi="Times New Roman" w:eastAsia="宋体"/>
          <w:b/>
        </w:rPr>
        <w:t xml:space="preserve">2.1 </w:t>
      </w:r>
      <w:bookmarkEnd w:id="23"/>
      <w:bookmarkEnd w:id="24"/>
      <w:bookmarkEnd w:id="25"/>
      <w:r>
        <w:rPr>
          <w:rFonts w:hint="eastAsia" w:ascii="Times New Roman" w:hAnsi="Times New Roman" w:eastAsia="宋体"/>
          <w:b/>
        </w:rPr>
        <w:t>工程基本情况</w:t>
      </w:r>
      <w:bookmarkEnd w:id="26"/>
    </w:p>
    <w:p>
      <w:pPr>
        <w:pStyle w:val="80"/>
        <w:ind w:firstLine="480" w:firstLineChars="200"/>
        <w:rPr>
          <w:rFonts w:hint="eastAsia"/>
          <w:lang w:eastAsia="zh-CN"/>
        </w:rPr>
      </w:pPr>
      <w:r>
        <w:rPr>
          <w:rFonts w:hint="eastAsia"/>
          <w:lang w:eastAsia="zh-CN"/>
        </w:rPr>
        <w:t>中昊晨光化工研究院有限公司关键材料技术自主化能力建设项目于2018年10月项目正式开工建设，2020年6月进行试生产。</w:t>
      </w:r>
    </w:p>
    <w:p>
      <w:pPr>
        <w:spacing w:line="360" w:lineRule="auto"/>
        <w:ind w:firstLine="480" w:firstLineChars="200"/>
        <w:jc w:val="center"/>
        <w:rPr>
          <w:bCs/>
          <w:sz w:val="24"/>
        </w:rPr>
      </w:pPr>
      <w:r>
        <w:rPr>
          <w:bCs/>
          <w:sz w:val="24"/>
        </w:rPr>
        <w:t>表 2.1-1</w:t>
      </w:r>
      <w:r>
        <w:rPr>
          <w:bCs/>
          <w:sz w:val="24"/>
        </w:rPr>
        <w:tab/>
      </w:r>
      <w:r>
        <w:rPr>
          <w:bCs/>
          <w:sz w:val="24"/>
        </w:rPr>
        <w:t>项目基本情况一览表</w:t>
      </w:r>
    </w:p>
    <w:tbl>
      <w:tblPr>
        <w:tblStyle w:val="43"/>
        <w:tblW w:w="850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27"/>
        <w:gridCol w:w="677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3" w:hRule="atLeast"/>
          <w:jc w:val="center"/>
        </w:trPr>
        <w:tc>
          <w:tcPr>
            <w:tcW w:w="1727" w:type="dxa"/>
            <w:tcBorders>
              <w:bottom w:val="single" w:color="000000" w:sz="4" w:space="0"/>
              <w:right w:val="single" w:color="000000" w:sz="4" w:space="0"/>
            </w:tcBorders>
            <w:shd w:val="clear" w:color="auto" w:fill="auto"/>
            <w:vAlign w:val="center"/>
          </w:tcPr>
          <w:p>
            <w:pPr>
              <w:pStyle w:val="132"/>
              <w:spacing w:before="27"/>
              <w:ind w:left="182" w:right="164"/>
              <w:rPr>
                <w:b/>
                <w:sz w:val="21"/>
              </w:rPr>
            </w:pPr>
            <w:r>
              <w:rPr>
                <w:b/>
                <w:sz w:val="21"/>
              </w:rPr>
              <w:t>工程名称</w:t>
            </w:r>
          </w:p>
        </w:tc>
        <w:tc>
          <w:tcPr>
            <w:tcW w:w="6778" w:type="dxa"/>
            <w:tcBorders>
              <w:left w:val="single" w:color="000000" w:sz="4" w:space="0"/>
              <w:bottom w:val="single" w:color="000000" w:sz="4" w:space="0"/>
            </w:tcBorders>
            <w:shd w:val="clear" w:color="auto" w:fill="auto"/>
            <w:vAlign w:val="center"/>
          </w:tcPr>
          <w:p>
            <w:pPr>
              <w:pStyle w:val="132"/>
              <w:spacing w:before="25"/>
              <w:jc w:val="left"/>
              <w:rPr>
                <w:rFonts w:ascii="Times New Roman" w:eastAsia="Times New Roman"/>
                <w:sz w:val="21"/>
                <w:lang w:eastAsia="zh-CN"/>
              </w:rPr>
            </w:pPr>
            <w:r>
              <w:rPr>
                <w:rFonts w:hint="eastAsia"/>
                <w:sz w:val="21"/>
                <w:lang w:eastAsia="zh-CN"/>
              </w:rPr>
              <w:t>中昊晨光化工研究院有限公司</w:t>
            </w:r>
            <w:r>
              <w:rPr>
                <w:rFonts w:hint="eastAsia"/>
                <w:lang w:eastAsia="zh-CN"/>
              </w:rPr>
              <w:t>关键材料技术自主化能力建设项目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5"/>
              <w:ind w:left="182" w:right="164"/>
              <w:rPr>
                <w:b/>
                <w:sz w:val="21"/>
              </w:rPr>
            </w:pPr>
            <w:r>
              <w:rPr>
                <w:b/>
                <w:sz w:val="21"/>
              </w:rPr>
              <w:t>建设性质</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25"/>
              <w:jc w:val="left"/>
              <w:rPr>
                <w:rFonts w:ascii="Times New Roman" w:eastAsia="Times New Roman"/>
                <w:sz w:val="21"/>
                <w:lang w:eastAsia="zh-CN"/>
              </w:rPr>
            </w:pPr>
            <w:r>
              <w:rPr>
                <w:rFonts w:hint="eastAsia"/>
                <w:sz w:val="21"/>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8"/>
              <w:ind w:left="182" w:right="164"/>
              <w:rPr>
                <w:b/>
                <w:sz w:val="21"/>
              </w:rPr>
            </w:pPr>
            <w:r>
              <w:rPr>
                <w:b/>
                <w:sz w:val="21"/>
              </w:rPr>
              <w:t>建设地点</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25"/>
              <w:jc w:val="left"/>
              <w:rPr>
                <w:rFonts w:ascii="Times New Roman" w:eastAsia="Times New Roman"/>
                <w:sz w:val="21"/>
                <w:lang w:eastAsia="zh-CN"/>
              </w:rPr>
            </w:pPr>
            <w:r>
              <w:rPr>
                <w:rFonts w:hint="eastAsia"/>
                <w:sz w:val="21"/>
                <w:lang w:eastAsia="zh-CN"/>
              </w:rPr>
              <w:t>自贡市富顺县晨光工业园区内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5"/>
              <w:ind w:left="182" w:right="164"/>
              <w:rPr>
                <w:b/>
                <w:sz w:val="21"/>
              </w:rPr>
            </w:pPr>
            <w:r>
              <w:rPr>
                <w:b/>
                <w:sz w:val="21"/>
              </w:rPr>
              <w:t>建设内容</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25"/>
              <w:jc w:val="left"/>
              <w:rPr>
                <w:rFonts w:ascii="Times New Roman" w:eastAsia="Times New Roman"/>
                <w:sz w:val="21"/>
                <w:lang w:eastAsia="zh-CN"/>
              </w:rPr>
            </w:pPr>
            <w:r>
              <w:rPr>
                <w:rFonts w:hint="eastAsia"/>
                <w:sz w:val="21"/>
                <w:lang w:eastAsia="zh-CN"/>
              </w:rPr>
              <w:t>中昊晨光化工研究院有限公司</w:t>
            </w:r>
            <w:r>
              <w:rPr>
                <w:rFonts w:hint="eastAsia"/>
                <w:lang w:eastAsia="zh-CN"/>
              </w:rPr>
              <w:t>关键材料技术自主化能力建设项目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4"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8"/>
              <w:ind w:left="182" w:right="164"/>
              <w:rPr>
                <w:b/>
                <w:sz w:val="21"/>
              </w:rPr>
            </w:pPr>
            <w:r>
              <w:rPr>
                <w:b/>
                <w:sz w:val="21"/>
              </w:rPr>
              <w:t>设计</w:t>
            </w:r>
            <w:r>
              <w:rPr>
                <w:rFonts w:hint="eastAsia"/>
                <w:b/>
                <w:sz w:val="21"/>
                <w:lang w:eastAsia="zh-CN"/>
              </w:rPr>
              <w:t>生产</w:t>
            </w:r>
            <w:r>
              <w:rPr>
                <w:b/>
                <w:sz w:val="21"/>
              </w:rPr>
              <w:t>规模</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28"/>
              <w:jc w:val="left"/>
              <w:rPr>
                <w:rFonts w:ascii="Times New Roman" w:eastAsia="Times New Roman"/>
                <w:sz w:val="21"/>
                <w:lang w:eastAsia="zh-CN"/>
              </w:rPr>
            </w:pPr>
            <w:r>
              <w:rPr>
                <w:rFonts w:hint="eastAsia"/>
                <w:szCs w:val="28"/>
              </w:rPr>
              <w:t>每年将试验生产</w:t>
            </w:r>
            <w:r>
              <w:rPr>
                <w:rFonts w:hint="eastAsia"/>
              </w:rPr>
              <w:t>2-全氟丙氧基全氟丙基三氟乙烯基醚（POPVE）</w:t>
            </w:r>
            <w:r>
              <w:rPr>
                <w:rFonts w:hint="eastAsia"/>
                <w:szCs w:val="28"/>
              </w:rPr>
              <w:t>300kg/a、</w:t>
            </w:r>
            <w:r>
              <w:rPr>
                <w:rFonts w:hint="eastAsia"/>
              </w:rPr>
              <w:t>全氟甲氧基甲基乙烯基醚（MOVE）</w:t>
            </w:r>
            <w:r>
              <w:rPr>
                <w:rFonts w:hint="eastAsia"/>
                <w:szCs w:val="28"/>
              </w:rPr>
              <w:t>300kg/a、特种</w:t>
            </w:r>
            <w:r>
              <w:rPr>
                <w:rFonts w:hint="eastAsia"/>
              </w:rPr>
              <w:t>氟橡胶</w:t>
            </w:r>
            <w:r>
              <w:rPr>
                <w:szCs w:val="28"/>
              </w:rPr>
              <w:t>6</w:t>
            </w:r>
            <w:r>
              <w:rPr>
                <w:rFonts w:hint="eastAsia"/>
                <w:szCs w:val="28"/>
              </w:rPr>
              <w:t>00kg/a。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2"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5"/>
              <w:ind w:left="182" w:right="164"/>
              <w:rPr>
                <w:b/>
                <w:sz w:val="21"/>
              </w:rPr>
            </w:pPr>
            <w:r>
              <w:rPr>
                <w:b/>
                <w:sz w:val="21"/>
              </w:rPr>
              <w:t>实际</w:t>
            </w:r>
            <w:r>
              <w:rPr>
                <w:rFonts w:hint="eastAsia"/>
                <w:b/>
                <w:sz w:val="21"/>
                <w:lang w:eastAsia="zh-CN"/>
              </w:rPr>
              <w:t>生产</w:t>
            </w:r>
            <w:r>
              <w:rPr>
                <w:b/>
                <w:sz w:val="21"/>
              </w:rPr>
              <w:t>规模</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25"/>
              <w:jc w:val="left"/>
              <w:rPr>
                <w:rFonts w:ascii="Times New Roman" w:eastAsia="Times New Roman"/>
                <w:sz w:val="21"/>
                <w:lang w:eastAsia="zh-CN"/>
              </w:rPr>
            </w:pPr>
            <w:r>
              <w:rPr>
                <w:rFonts w:hint="eastAsia"/>
                <w:szCs w:val="28"/>
              </w:rPr>
              <w:t>每年将试验生产</w:t>
            </w:r>
            <w:r>
              <w:rPr>
                <w:rFonts w:hint="eastAsia"/>
              </w:rPr>
              <w:t>2-全氟丙氧基全氟丙基三氟乙烯基醚（POPVE）</w:t>
            </w:r>
            <w:r>
              <w:rPr>
                <w:rFonts w:hint="eastAsia"/>
                <w:szCs w:val="28"/>
              </w:rPr>
              <w:t>300kg/a、</w:t>
            </w:r>
            <w:r>
              <w:rPr>
                <w:rFonts w:hint="eastAsia"/>
              </w:rPr>
              <w:t>全氟甲氧基甲基乙烯基醚（MOVE）</w:t>
            </w:r>
            <w:r>
              <w:rPr>
                <w:rFonts w:hint="eastAsia"/>
                <w:szCs w:val="28"/>
              </w:rPr>
              <w:t>300kg/a、特种</w:t>
            </w:r>
            <w:r>
              <w:rPr>
                <w:rFonts w:hint="eastAsia"/>
              </w:rPr>
              <w:t>氟橡胶</w:t>
            </w:r>
            <w:r>
              <w:rPr>
                <w:szCs w:val="28"/>
              </w:rPr>
              <w:t>6</w:t>
            </w:r>
            <w:r>
              <w:rPr>
                <w:rFonts w:hint="eastAsia"/>
                <w:szCs w:val="28"/>
              </w:rPr>
              <w:t>00kg/a。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6"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7"/>
              <w:jc w:val="left"/>
              <w:rPr>
                <w:b/>
                <w:sz w:val="17"/>
                <w:lang w:eastAsia="zh-CN"/>
              </w:rPr>
            </w:pPr>
          </w:p>
          <w:p>
            <w:pPr>
              <w:pStyle w:val="132"/>
              <w:ind w:left="200"/>
              <w:jc w:val="left"/>
              <w:rPr>
                <w:b/>
                <w:sz w:val="21"/>
              </w:rPr>
            </w:pPr>
            <w:r>
              <w:rPr>
                <w:b/>
                <w:sz w:val="21"/>
              </w:rPr>
              <w:t>项目投资（万元）</w:t>
            </w:r>
          </w:p>
        </w:tc>
        <w:tc>
          <w:tcPr>
            <w:tcW w:w="6778" w:type="dxa"/>
            <w:tcBorders>
              <w:top w:val="single" w:color="000000" w:sz="4" w:space="0"/>
              <w:left w:val="single" w:color="000000" w:sz="4" w:space="0"/>
            </w:tcBorders>
            <w:shd w:val="clear" w:color="auto" w:fill="auto"/>
            <w:vAlign w:val="center"/>
          </w:tcPr>
          <w:p>
            <w:pPr>
              <w:pStyle w:val="132"/>
              <w:spacing w:before="70"/>
              <w:ind w:right="97"/>
              <w:jc w:val="both"/>
              <w:rPr>
                <w:rFonts w:hint="default" w:ascii="Times New Roman" w:eastAsiaTheme="minorEastAsia"/>
                <w:sz w:val="21"/>
                <w:lang w:val="en-US" w:eastAsia="zh-CN"/>
              </w:rPr>
            </w:pPr>
            <w:r>
              <w:rPr>
                <w:rFonts w:hint="eastAsia" w:ascii="Times New Roman" w:eastAsiaTheme="minorEastAsia"/>
                <w:sz w:val="21"/>
                <w:lang w:val="en-US" w:eastAsia="zh-CN"/>
              </w:rPr>
              <w:t>总投资</w:t>
            </w:r>
            <w:r>
              <w:rPr>
                <w:rFonts w:hint="eastAsia"/>
              </w:rPr>
              <w:t>8609</w:t>
            </w:r>
            <w:r>
              <w:rPr>
                <w:rFonts w:hint="eastAsia" w:ascii="Times New Roman" w:eastAsiaTheme="minorEastAsia"/>
                <w:sz w:val="21"/>
                <w:lang w:eastAsia="zh-CN"/>
              </w:rPr>
              <w:t>万元</w:t>
            </w:r>
            <w:r>
              <w:rPr>
                <w:rFonts w:ascii="Times New Roman" w:eastAsiaTheme="minorEastAsia"/>
                <w:sz w:val="21"/>
                <w:lang w:eastAsia="zh-CN"/>
              </w:rPr>
              <w:t>，</w:t>
            </w:r>
            <w:r>
              <w:rPr>
                <w:rFonts w:hint="eastAsia" w:ascii="Times New Roman" w:eastAsiaTheme="minorEastAsia"/>
                <w:sz w:val="21"/>
                <w:lang w:eastAsia="zh-CN"/>
              </w:rPr>
              <w:t>其中</w:t>
            </w:r>
            <w:r>
              <w:rPr>
                <w:rFonts w:ascii="Times New Roman" w:eastAsiaTheme="minorEastAsia"/>
                <w:sz w:val="21"/>
                <w:lang w:eastAsia="zh-CN"/>
              </w:rPr>
              <w:t>环保投资</w:t>
            </w:r>
            <w:r>
              <w:rPr>
                <w:rFonts w:hint="eastAsia" w:ascii="Times New Roman" w:eastAsiaTheme="minorEastAsia"/>
                <w:sz w:val="21"/>
                <w:lang w:val="en-US" w:eastAsia="zh-CN"/>
              </w:rPr>
              <w:t>795万元。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8"/>
              <w:ind w:left="182" w:right="164"/>
              <w:rPr>
                <w:b/>
                <w:sz w:val="21"/>
              </w:rPr>
            </w:pPr>
            <w:r>
              <w:rPr>
                <w:b/>
                <w:sz w:val="21"/>
              </w:rPr>
              <w:t>劳动人员</w:t>
            </w:r>
          </w:p>
        </w:tc>
        <w:tc>
          <w:tcPr>
            <w:tcW w:w="6778" w:type="dxa"/>
            <w:tcBorders>
              <w:top w:val="single" w:color="000000" w:sz="4" w:space="0"/>
              <w:left w:val="single" w:color="000000" w:sz="4" w:space="0"/>
              <w:bottom w:val="single" w:color="000000" w:sz="4" w:space="0"/>
            </w:tcBorders>
            <w:shd w:val="clear" w:color="auto" w:fill="auto"/>
            <w:vAlign w:val="center"/>
          </w:tcPr>
          <w:p>
            <w:pPr>
              <w:pStyle w:val="3"/>
              <w:spacing w:before="79"/>
              <w:rPr>
                <w:rFonts w:hAnsi="宋体" w:eastAsia="Times New Roman" w:cs="宋体"/>
                <w:color w:val="auto"/>
                <w:spacing w:val="0"/>
                <w:kern w:val="0"/>
                <w:szCs w:val="22"/>
              </w:rPr>
            </w:pPr>
            <w:r>
              <w:rPr>
                <w:rFonts w:hint="eastAsia" w:ascii="Times New Roman" w:hAnsi="宋体" w:cs="宋体" w:eastAsiaTheme="minorEastAsia"/>
                <w:color w:val="auto"/>
                <w:spacing w:val="0"/>
                <w:kern w:val="0"/>
                <w:sz w:val="21"/>
                <w:szCs w:val="22"/>
                <w:lang w:val="en-US" w:eastAsia="zh-CN" w:bidi="ar-SA"/>
              </w:rPr>
              <w:t>项目</w:t>
            </w:r>
            <w:r>
              <w:rPr>
                <w:rFonts w:hint="eastAsia" w:hAnsi="宋体" w:cs="宋体" w:eastAsiaTheme="minorEastAsia"/>
                <w:color w:val="auto"/>
                <w:spacing w:val="0"/>
                <w:kern w:val="0"/>
                <w:sz w:val="21"/>
                <w:szCs w:val="22"/>
                <w:lang w:val="en-US" w:eastAsia="zh-CN" w:bidi="ar-SA"/>
              </w:rPr>
              <w:t>劳动人员</w:t>
            </w:r>
            <w:r>
              <w:rPr>
                <w:rFonts w:hint="eastAsia" w:ascii="Times New Roman" w:hAnsi="宋体" w:cs="宋体" w:eastAsiaTheme="minorEastAsia"/>
                <w:color w:val="auto"/>
                <w:spacing w:val="0"/>
                <w:kern w:val="0"/>
                <w:sz w:val="21"/>
                <w:szCs w:val="22"/>
                <w:lang w:val="en-US" w:eastAsia="zh-CN" w:bidi="ar-SA"/>
              </w:rPr>
              <w:t>利用晨光院现有人员调配，无新增人员。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5"/>
              <w:ind w:left="182" w:right="164"/>
              <w:rPr>
                <w:b/>
                <w:sz w:val="21"/>
              </w:rPr>
            </w:pPr>
            <w:r>
              <w:rPr>
                <w:b/>
                <w:sz w:val="21"/>
              </w:rPr>
              <w:t>开工时间</w:t>
            </w:r>
          </w:p>
        </w:tc>
        <w:tc>
          <w:tcPr>
            <w:tcW w:w="6778" w:type="dxa"/>
            <w:tcBorders>
              <w:top w:val="single" w:color="000000" w:sz="4" w:space="0"/>
              <w:left w:val="single" w:color="000000" w:sz="4" w:space="0"/>
              <w:bottom w:val="single" w:color="000000" w:sz="4" w:space="0"/>
            </w:tcBorders>
            <w:shd w:val="clear" w:color="auto" w:fill="auto"/>
            <w:vAlign w:val="center"/>
          </w:tcPr>
          <w:p>
            <w:pPr>
              <w:pStyle w:val="3"/>
              <w:spacing w:before="79"/>
              <w:rPr>
                <w:rFonts w:hint="eastAsia" w:ascii="Times New Roman" w:hAnsi="宋体" w:cs="宋体" w:eastAsiaTheme="minorEastAsia"/>
                <w:color w:val="auto"/>
                <w:spacing w:val="0"/>
                <w:kern w:val="0"/>
                <w:sz w:val="21"/>
                <w:szCs w:val="22"/>
                <w:lang w:val="en-US" w:eastAsia="zh-CN" w:bidi="ar-SA"/>
              </w:rPr>
            </w:pPr>
            <w:r>
              <w:rPr>
                <w:rFonts w:hint="eastAsia" w:ascii="Times New Roman" w:hAnsi="宋体" w:cs="宋体" w:eastAsiaTheme="minorEastAsia"/>
                <w:color w:val="auto"/>
                <w:spacing w:val="0"/>
                <w:kern w:val="0"/>
                <w:sz w:val="21"/>
                <w:szCs w:val="22"/>
                <w:lang w:val="en-US" w:eastAsia="zh-CN" w:bidi="ar-SA"/>
              </w:rPr>
              <w:t>2018年10月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8"/>
              <w:ind w:left="182" w:right="164"/>
              <w:rPr>
                <w:b/>
                <w:sz w:val="21"/>
              </w:rPr>
            </w:pPr>
            <w:r>
              <w:rPr>
                <w:b/>
                <w:sz w:val="21"/>
              </w:rPr>
              <w:t>竣工时间</w:t>
            </w:r>
          </w:p>
        </w:tc>
        <w:tc>
          <w:tcPr>
            <w:tcW w:w="6778" w:type="dxa"/>
            <w:tcBorders>
              <w:top w:val="single" w:color="000000" w:sz="4" w:space="0"/>
              <w:left w:val="single" w:color="000000" w:sz="4" w:space="0"/>
              <w:bottom w:val="single" w:color="000000" w:sz="4" w:space="0"/>
            </w:tcBorders>
            <w:shd w:val="clear" w:color="auto" w:fill="auto"/>
            <w:vAlign w:val="center"/>
          </w:tcPr>
          <w:p>
            <w:pPr>
              <w:pStyle w:val="3"/>
              <w:spacing w:before="79"/>
              <w:rPr>
                <w:rFonts w:hint="eastAsia" w:ascii="Times New Roman" w:hAnsi="宋体" w:cs="宋体" w:eastAsiaTheme="minorEastAsia"/>
                <w:color w:val="auto"/>
                <w:spacing w:val="0"/>
                <w:kern w:val="0"/>
                <w:sz w:val="21"/>
                <w:szCs w:val="22"/>
                <w:lang w:val="en-US" w:eastAsia="zh-CN" w:bidi="ar-SA"/>
              </w:rPr>
            </w:pPr>
            <w:r>
              <w:rPr>
                <w:rFonts w:hint="eastAsia" w:ascii="Times New Roman" w:hAnsi="宋体" w:cs="宋体" w:eastAsiaTheme="minorEastAsia"/>
                <w:color w:val="auto"/>
                <w:spacing w:val="0"/>
                <w:kern w:val="0"/>
                <w:sz w:val="21"/>
                <w:szCs w:val="22"/>
                <w:lang w:val="en-US" w:eastAsia="zh-CN" w:bidi="ar-SA"/>
              </w:rPr>
              <w:t>2020年4月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25"/>
              <w:ind w:left="182" w:right="164"/>
              <w:rPr>
                <w:b/>
                <w:sz w:val="21"/>
              </w:rPr>
            </w:pPr>
            <w:r>
              <w:rPr>
                <w:b/>
                <w:sz w:val="21"/>
              </w:rPr>
              <w:t>试生产时间</w:t>
            </w:r>
          </w:p>
        </w:tc>
        <w:tc>
          <w:tcPr>
            <w:tcW w:w="6778" w:type="dxa"/>
            <w:tcBorders>
              <w:top w:val="single" w:color="000000" w:sz="4" w:space="0"/>
              <w:left w:val="single" w:color="000000" w:sz="4" w:space="0"/>
              <w:bottom w:val="single" w:color="000000" w:sz="4" w:space="0"/>
            </w:tcBorders>
            <w:shd w:val="clear" w:color="auto" w:fill="auto"/>
            <w:vAlign w:val="center"/>
          </w:tcPr>
          <w:p>
            <w:pPr>
              <w:pStyle w:val="3"/>
              <w:spacing w:before="79"/>
              <w:rPr>
                <w:rFonts w:hint="eastAsia" w:ascii="Times New Roman" w:hAnsi="宋体" w:cs="宋体" w:eastAsiaTheme="minorEastAsia"/>
                <w:color w:val="auto"/>
                <w:spacing w:val="0"/>
                <w:kern w:val="0"/>
                <w:sz w:val="21"/>
                <w:szCs w:val="22"/>
                <w:lang w:val="en-US" w:eastAsia="zh-CN" w:bidi="ar-SA"/>
              </w:rPr>
            </w:pPr>
            <w:r>
              <w:rPr>
                <w:rFonts w:hint="eastAsia" w:ascii="Times New Roman" w:hAnsi="宋体" w:cs="宋体" w:eastAsiaTheme="minorEastAsia"/>
                <w:color w:val="auto"/>
                <w:spacing w:val="0"/>
                <w:kern w:val="0"/>
                <w:sz w:val="21"/>
                <w:szCs w:val="22"/>
                <w:lang w:val="en-US" w:eastAsia="zh-CN" w:bidi="ar-SA"/>
              </w:rPr>
              <w:t>2020年6月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spacing w:before="141"/>
              <w:ind w:left="182" w:right="164"/>
              <w:rPr>
                <w:b/>
                <w:sz w:val="21"/>
              </w:rPr>
            </w:pPr>
            <w:r>
              <w:rPr>
                <w:b/>
                <w:sz w:val="21"/>
              </w:rPr>
              <w:t>环评情况</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27" w:line="223" w:lineRule="auto"/>
              <w:ind w:left="1375" w:right="12" w:hanging="1258"/>
              <w:jc w:val="left"/>
              <w:rPr>
                <w:rFonts w:ascii="Times New Roman" w:eastAsia="Times New Roman"/>
                <w:sz w:val="21"/>
                <w:lang w:eastAsia="zh-CN"/>
              </w:rPr>
            </w:pPr>
            <w:r>
              <w:rPr>
                <w:rFonts w:ascii="Times New Roman" w:eastAsia="Times New Roman"/>
                <w:sz w:val="21"/>
                <w:lang w:eastAsia="zh-CN"/>
              </w:rPr>
              <w:t>201</w:t>
            </w:r>
            <w:r>
              <w:rPr>
                <w:rFonts w:hint="eastAsia" w:ascii="Times New Roman" w:eastAsia="Times New Roman"/>
                <w:sz w:val="21"/>
                <w:lang w:val="en-US" w:eastAsia="zh-CN"/>
              </w:rPr>
              <w:t>4</w:t>
            </w:r>
            <w:r>
              <w:rPr>
                <w:rFonts w:hint="eastAsia"/>
                <w:sz w:val="21"/>
                <w:lang w:eastAsia="zh-CN"/>
              </w:rPr>
              <w:t>年</w:t>
            </w:r>
            <w:r>
              <w:rPr>
                <w:rFonts w:hint="eastAsia" w:ascii="Times New Roman" w:eastAsia="Times New Roman"/>
                <w:sz w:val="21"/>
                <w:lang w:val="en-US" w:eastAsia="zh-CN"/>
              </w:rPr>
              <w:t>10</w:t>
            </w:r>
            <w:r>
              <w:rPr>
                <w:rFonts w:hint="eastAsia"/>
                <w:sz w:val="21"/>
                <w:lang w:eastAsia="zh-CN"/>
              </w:rPr>
              <w:t>月编制完成了《中昊晨光化工研究院有限公司</w:t>
            </w:r>
            <w:r>
              <w:rPr>
                <w:rFonts w:hint="eastAsia"/>
                <w:lang w:eastAsia="zh-CN"/>
              </w:rPr>
              <w:t>关键材料技术自主化能力建设项目</w:t>
            </w:r>
            <w:r>
              <w:rPr>
                <w:sz w:val="21"/>
                <w:lang w:eastAsia="zh-CN"/>
              </w:rPr>
              <w:t>环境影响报告书</w:t>
            </w:r>
            <w:r>
              <w:rPr>
                <w:rFonts w:hint="eastAsia"/>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8" w:hRule="atLeast"/>
          <w:jc w:val="center"/>
        </w:trPr>
        <w:tc>
          <w:tcPr>
            <w:tcW w:w="1727" w:type="dxa"/>
            <w:tcBorders>
              <w:top w:val="single" w:color="000000" w:sz="4" w:space="0"/>
              <w:bottom w:val="single" w:color="000000" w:sz="4" w:space="0"/>
              <w:right w:val="single" w:color="000000" w:sz="4" w:space="0"/>
            </w:tcBorders>
            <w:shd w:val="clear" w:color="auto" w:fill="auto"/>
            <w:vAlign w:val="center"/>
          </w:tcPr>
          <w:p>
            <w:pPr>
              <w:pStyle w:val="132"/>
              <w:jc w:val="left"/>
              <w:rPr>
                <w:b/>
                <w:sz w:val="21"/>
                <w:lang w:eastAsia="zh-CN"/>
              </w:rPr>
            </w:pPr>
          </w:p>
          <w:p>
            <w:pPr>
              <w:pStyle w:val="132"/>
              <w:ind w:left="182" w:right="164"/>
              <w:rPr>
                <w:b/>
                <w:sz w:val="21"/>
              </w:rPr>
            </w:pPr>
            <w:r>
              <w:rPr>
                <w:b/>
                <w:sz w:val="21"/>
              </w:rPr>
              <w:t>批复情况</w:t>
            </w:r>
          </w:p>
        </w:tc>
        <w:tc>
          <w:tcPr>
            <w:tcW w:w="6778" w:type="dxa"/>
            <w:tcBorders>
              <w:top w:val="single" w:color="000000" w:sz="4" w:space="0"/>
              <w:left w:val="single" w:color="000000" w:sz="4" w:space="0"/>
              <w:bottom w:val="single" w:color="000000" w:sz="4" w:space="0"/>
            </w:tcBorders>
            <w:shd w:val="clear" w:color="auto" w:fill="auto"/>
            <w:vAlign w:val="center"/>
          </w:tcPr>
          <w:p>
            <w:pPr>
              <w:pStyle w:val="132"/>
              <w:spacing w:before="6" w:line="281" w:lineRule="exact"/>
              <w:ind w:left="141"/>
              <w:jc w:val="left"/>
              <w:rPr>
                <w:rFonts w:ascii="Times New Roman" w:eastAsia="Times New Roman"/>
                <w:color w:val="FF0000"/>
                <w:sz w:val="21"/>
                <w:lang w:eastAsia="zh-CN"/>
              </w:rPr>
            </w:pPr>
            <w:r>
              <w:rPr>
                <w:szCs w:val="24"/>
                <w:lang w:eastAsia="zh-CN"/>
              </w:rPr>
              <w:t>201</w:t>
            </w:r>
            <w:r>
              <w:rPr>
                <w:rFonts w:hint="eastAsia"/>
                <w:szCs w:val="24"/>
                <w:lang w:val="en-US" w:eastAsia="zh-CN"/>
              </w:rPr>
              <w:t>7</w:t>
            </w:r>
            <w:r>
              <w:rPr>
                <w:szCs w:val="24"/>
                <w:lang w:eastAsia="zh-CN"/>
              </w:rPr>
              <w:t>年</w:t>
            </w:r>
            <w:r>
              <w:rPr>
                <w:rFonts w:hint="eastAsia"/>
                <w:szCs w:val="24"/>
                <w:lang w:val="en-US" w:eastAsia="zh-CN"/>
              </w:rPr>
              <w:t>6</w:t>
            </w:r>
            <w:r>
              <w:rPr>
                <w:szCs w:val="24"/>
                <w:lang w:eastAsia="zh-CN"/>
              </w:rPr>
              <w:t>月2</w:t>
            </w:r>
            <w:r>
              <w:rPr>
                <w:rFonts w:hint="eastAsia"/>
                <w:szCs w:val="24"/>
                <w:lang w:val="en-US" w:eastAsia="zh-CN"/>
              </w:rPr>
              <w:t>0</w:t>
            </w:r>
            <w:r>
              <w:rPr>
                <w:szCs w:val="24"/>
                <w:lang w:eastAsia="zh-CN"/>
              </w:rPr>
              <w:t>日，</w:t>
            </w:r>
            <w:r>
              <w:rPr>
                <w:rFonts w:hint="eastAsia"/>
                <w:szCs w:val="24"/>
                <w:lang w:eastAsia="zh-CN"/>
              </w:rPr>
              <w:t>自贡市生态环境局以自环项批[2017]12号对本项</w:t>
            </w:r>
            <w:r>
              <w:rPr>
                <w:szCs w:val="24"/>
                <w:lang w:eastAsia="zh-CN"/>
              </w:rPr>
              <w:t>目环境影响报告书进行了批复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7" w:hRule="atLeast"/>
          <w:jc w:val="center"/>
        </w:trPr>
        <w:tc>
          <w:tcPr>
            <w:tcW w:w="1727" w:type="dxa"/>
            <w:tcBorders>
              <w:top w:val="single" w:color="000000" w:sz="4" w:space="0"/>
              <w:right w:val="single" w:color="000000" w:sz="4" w:space="0"/>
            </w:tcBorders>
            <w:shd w:val="clear" w:color="auto" w:fill="auto"/>
            <w:vAlign w:val="center"/>
          </w:tcPr>
          <w:p>
            <w:pPr>
              <w:pStyle w:val="132"/>
              <w:spacing w:before="141"/>
              <w:ind w:left="182" w:right="164"/>
              <w:rPr>
                <w:b/>
                <w:sz w:val="21"/>
              </w:rPr>
            </w:pPr>
            <w:r>
              <w:rPr>
                <w:b/>
                <w:sz w:val="21"/>
              </w:rPr>
              <w:t>纳污水体</w:t>
            </w:r>
          </w:p>
        </w:tc>
        <w:tc>
          <w:tcPr>
            <w:tcW w:w="6778" w:type="dxa"/>
            <w:tcBorders>
              <w:top w:val="single" w:color="000000" w:sz="4" w:space="0"/>
              <w:left w:val="single" w:color="000000" w:sz="4" w:space="0"/>
            </w:tcBorders>
            <w:shd w:val="clear" w:color="auto" w:fill="auto"/>
            <w:vAlign w:val="center"/>
          </w:tcPr>
          <w:p>
            <w:pPr>
              <w:pStyle w:val="132"/>
              <w:spacing w:before="27" w:line="223" w:lineRule="auto"/>
              <w:ind w:left="1375" w:right="12" w:hanging="1258"/>
              <w:jc w:val="left"/>
              <w:rPr>
                <w:rFonts w:ascii="Times New Roman" w:eastAsia="Times New Roman"/>
                <w:sz w:val="21"/>
                <w:lang w:eastAsia="zh-CN"/>
              </w:rPr>
            </w:pPr>
            <w:r>
              <w:rPr>
                <w:rFonts w:hint="eastAsia"/>
                <w:sz w:val="21"/>
                <w:lang w:eastAsia="zh-CN"/>
              </w:rPr>
              <w:t>废水经厂区污水处理站收集处理达标后外排园区污水处理厂处理。</w:t>
            </w:r>
          </w:p>
        </w:tc>
      </w:tr>
    </w:tbl>
    <w:p>
      <w:pPr>
        <w:pStyle w:val="5"/>
        <w:spacing w:before="120" w:after="120"/>
        <w:rPr>
          <w:rFonts w:ascii="Times New Roman" w:hAnsi="Times New Roman" w:eastAsia="宋体"/>
          <w:b/>
        </w:rPr>
      </w:pPr>
      <w:bookmarkStart w:id="27" w:name="_Toc29926"/>
      <w:bookmarkStart w:id="28" w:name="_Toc50707396"/>
      <w:bookmarkStart w:id="29" w:name="_Toc186354513"/>
      <w:r>
        <w:rPr>
          <w:rFonts w:ascii="Times New Roman" w:hAnsi="Times New Roman" w:eastAsia="宋体"/>
          <w:b/>
        </w:rPr>
        <w:t>2.2 建设</w:t>
      </w:r>
      <w:r>
        <w:rPr>
          <w:rFonts w:hint="eastAsia" w:ascii="Times New Roman" w:hAnsi="Times New Roman" w:eastAsia="宋体"/>
          <w:b/>
        </w:rPr>
        <w:t>内容</w:t>
      </w:r>
      <w:r>
        <w:rPr>
          <w:rFonts w:ascii="Times New Roman" w:hAnsi="Times New Roman" w:eastAsia="宋体"/>
          <w:b/>
        </w:rPr>
        <w:t>及规模</w:t>
      </w:r>
      <w:bookmarkEnd w:id="27"/>
      <w:bookmarkEnd w:id="28"/>
      <w:bookmarkEnd w:id="29"/>
      <w:r>
        <w:rPr>
          <w:rFonts w:hint="eastAsia" w:ascii="Times New Roman" w:hAnsi="Times New Roman" w:eastAsia="宋体"/>
          <w:b/>
        </w:rPr>
        <w:t xml:space="preserve">         </w:t>
      </w:r>
    </w:p>
    <w:p>
      <w:pPr>
        <w:pStyle w:val="6"/>
      </w:pPr>
      <w:bookmarkStart w:id="30" w:name="_Toc6248"/>
      <w:bookmarkStart w:id="31" w:name="_Toc186354514"/>
      <w:bookmarkStart w:id="32" w:name="_Toc50707397"/>
      <w:r>
        <w:t>2.2.1建设</w:t>
      </w:r>
      <w:bookmarkEnd w:id="30"/>
      <w:bookmarkEnd w:id="31"/>
      <w:r>
        <w:rPr>
          <w:rFonts w:hint="eastAsia"/>
        </w:rPr>
        <w:t>内容</w:t>
      </w:r>
      <w:bookmarkEnd w:id="32"/>
    </w:p>
    <w:p>
      <w:pPr>
        <w:pStyle w:val="80"/>
        <w:ind w:firstLine="480" w:firstLineChars="200"/>
        <w:rPr>
          <w:rFonts w:hint="eastAsia"/>
          <w:lang w:eastAsia="zh-CN"/>
        </w:rPr>
      </w:pPr>
      <w:bookmarkStart w:id="33" w:name="_Toc7268"/>
      <w:bookmarkStart w:id="34" w:name="_Toc50707399"/>
      <w:bookmarkStart w:id="35" w:name="_Toc186354521"/>
      <w:bookmarkStart w:id="36" w:name="_Toc186354515"/>
      <w:r>
        <w:rPr>
          <w:rFonts w:hint="eastAsia"/>
          <w:lang w:eastAsia="zh-CN"/>
        </w:rPr>
        <w:t>本项目建设内容分为4个部分，分别为MOVE关键单体工程化研究条件建设、POPVE关键单体工程化研究条件建设、氟橡胶聚合及后处理关键共性技术研发条件建设以及质检中心改造。</w:t>
      </w:r>
    </w:p>
    <w:p>
      <w:pPr>
        <w:pStyle w:val="80"/>
        <w:ind w:firstLine="480" w:firstLineChars="200"/>
        <w:rPr>
          <w:rFonts w:hint="eastAsia"/>
          <w:lang w:eastAsia="zh-CN"/>
        </w:rPr>
      </w:pPr>
      <w:r>
        <w:rPr>
          <w:rFonts w:hint="eastAsia"/>
          <w:lang w:eastAsia="zh-CN"/>
        </w:rPr>
        <w:t>其中，MOVE关键单体工程化研究条件建设、POPVE关键单体工程化研究条件建设将新增仪器和设备10台/套，并扩建第四单体实验楼以满足MOVE、POPVE关键单体制备工艺设备的布置需要。</w:t>
      </w:r>
    </w:p>
    <w:p>
      <w:pPr>
        <w:pStyle w:val="80"/>
        <w:ind w:firstLine="480" w:firstLineChars="200"/>
        <w:rPr>
          <w:rFonts w:hint="eastAsia"/>
          <w:lang w:eastAsia="zh-CN"/>
        </w:rPr>
      </w:pPr>
      <w:r>
        <w:rPr>
          <w:rFonts w:hint="eastAsia"/>
          <w:lang w:eastAsia="zh-CN"/>
        </w:rPr>
        <w:t>项目氟橡胶聚合及后处理关键共性技术研发条件建设子项新增工艺研究条件仪器和设备11台/套、关键共性技术研究条件3套（包含分子设计软件、化工流程模拟软件和平行反应釜），并对现有氟醚橡胶实验楼适应性改造，以满足新增氟醚橡胶聚合及后处理设备的布置需要，并具备氟橡胶聚合及后处理工序的辅助配套功能。</w:t>
      </w:r>
    </w:p>
    <w:p>
      <w:pPr>
        <w:pStyle w:val="80"/>
        <w:ind w:firstLine="480" w:firstLineChars="200"/>
        <w:rPr>
          <w:rFonts w:hint="eastAsia"/>
          <w:lang w:eastAsia="zh-CN"/>
        </w:rPr>
      </w:pPr>
      <w:r>
        <w:rPr>
          <w:rFonts w:hint="eastAsia"/>
          <w:lang w:eastAsia="zh-CN"/>
        </w:rPr>
        <w:t>本项目关键共性技术研究条件3套设备中，分子设计软件和化工流程模拟软件均安装计算机内，平行反应釜设置在氟醚橡胶实验楼，用于氟橡胶聚合反应的工艺技术开发。</w:t>
      </w:r>
    </w:p>
    <w:p>
      <w:pPr>
        <w:pStyle w:val="80"/>
        <w:ind w:firstLine="480" w:firstLineChars="200"/>
        <w:rPr>
          <w:rFonts w:hint="eastAsia"/>
          <w:lang w:eastAsia="zh-CN"/>
        </w:rPr>
      </w:pPr>
      <w:r>
        <w:rPr>
          <w:rFonts w:hint="eastAsia"/>
          <w:lang w:eastAsia="zh-CN"/>
        </w:rPr>
        <w:t>本项目将新增仪器和设备13台（套）和应用工艺条件设备橡胶注射机对质检楼进行适应性改造，以满足新增分析检测仪器和应用工艺条件设备的布置需要。</w:t>
      </w:r>
    </w:p>
    <w:p>
      <w:pPr>
        <w:pStyle w:val="80"/>
        <w:ind w:firstLine="480" w:firstLineChars="200"/>
        <w:rPr>
          <w:rFonts w:hint="eastAsia"/>
          <w:lang w:eastAsia="zh-CN"/>
        </w:rPr>
      </w:pPr>
      <w:r>
        <w:rPr>
          <w:rFonts w:hint="eastAsia"/>
          <w:lang w:eastAsia="zh-CN"/>
        </w:rPr>
        <w:t>本项目新建3层综合控制楼，层高5米；其中一楼布置有配电室、卫生间、更衣室；二楼设置办公室、休息室、分析室等，三楼设置控制室、机柜间。控制室为三个子项公用的控制室，配电室、机柜间为MOVE关键单体、POPVE关键单体共用。</w:t>
      </w:r>
    </w:p>
    <w:p>
      <w:pPr>
        <w:spacing w:line="440" w:lineRule="exact"/>
        <w:ind w:firstLine="480" w:firstLineChars="200"/>
        <w:jc w:val="center"/>
        <w:rPr>
          <w:rFonts w:hint="eastAsia"/>
          <w:sz w:val="24"/>
        </w:rPr>
      </w:pPr>
      <w:r>
        <w:rPr>
          <w:rFonts w:hint="eastAsia"/>
          <w:sz w:val="24"/>
        </w:rPr>
        <w:t>表</w:t>
      </w:r>
      <w:r>
        <w:rPr>
          <w:rFonts w:hint="eastAsia"/>
          <w:sz w:val="24"/>
          <w:lang w:val="en-US" w:eastAsia="zh-CN"/>
        </w:rPr>
        <w:t>2.2-1</w:t>
      </w:r>
      <w:r>
        <w:rPr>
          <w:rFonts w:hint="eastAsia"/>
          <w:sz w:val="24"/>
        </w:rPr>
        <w:t xml:space="preserve">  项目组成及主要环境问题</w:t>
      </w:r>
    </w:p>
    <w:tbl>
      <w:tblPr>
        <w:tblStyle w:val="43"/>
        <w:tblW w:w="87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765"/>
        <w:gridCol w:w="2663"/>
        <w:gridCol w:w="866"/>
        <w:gridCol w:w="869"/>
        <w:gridCol w:w="2609"/>
        <w:gridCol w:w="4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445" w:type="dxa"/>
            <w:vMerge w:val="restart"/>
            <w:vAlign w:val="center"/>
          </w:tcPr>
          <w:p>
            <w:pPr>
              <w:pStyle w:val="147"/>
            </w:pPr>
            <w:r>
              <w:rPr>
                <w:rFonts w:hint="eastAsia"/>
              </w:rPr>
              <w:t>分 类</w:t>
            </w:r>
          </w:p>
        </w:tc>
        <w:tc>
          <w:tcPr>
            <w:tcW w:w="765" w:type="dxa"/>
            <w:vMerge w:val="restart"/>
            <w:vAlign w:val="center"/>
          </w:tcPr>
          <w:p>
            <w:pPr>
              <w:pStyle w:val="147"/>
            </w:pPr>
            <w:r>
              <w:rPr>
                <w:rFonts w:hint="eastAsia"/>
              </w:rPr>
              <w:t>名称</w:t>
            </w:r>
          </w:p>
        </w:tc>
        <w:tc>
          <w:tcPr>
            <w:tcW w:w="2663" w:type="dxa"/>
            <w:vMerge w:val="restart"/>
            <w:vAlign w:val="center"/>
          </w:tcPr>
          <w:p>
            <w:pPr>
              <w:pStyle w:val="147"/>
            </w:pPr>
            <w:r>
              <w:rPr>
                <w:rFonts w:hint="eastAsia"/>
              </w:rPr>
              <w:t>技改后情况</w:t>
            </w:r>
          </w:p>
        </w:tc>
        <w:tc>
          <w:tcPr>
            <w:tcW w:w="1735" w:type="dxa"/>
            <w:gridSpan w:val="2"/>
            <w:vAlign w:val="center"/>
          </w:tcPr>
          <w:p>
            <w:pPr>
              <w:pStyle w:val="147"/>
            </w:pPr>
            <w:r>
              <w:rPr>
                <w:rFonts w:hint="eastAsia"/>
              </w:rPr>
              <w:t>主要环境问题</w:t>
            </w:r>
          </w:p>
        </w:tc>
        <w:tc>
          <w:tcPr>
            <w:tcW w:w="2609" w:type="dxa"/>
            <w:vMerge w:val="restart"/>
            <w:vAlign w:val="center"/>
          </w:tcPr>
          <w:p>
            <w:pPr>
              <w:pStyle w:val="147"/>
            </w:pPr>
            <w:r>
              <w:rPr>
                <w:rFonts w:hint="eastAsia"/>
              </w:rPr>
              <w:t>营运期主要</w:t>
            </w:r>
          </w:p>
          <w:p>
            <w:pPr>
              <w:pStyle w:val="147"/>
            </w:pPr>
            <w:r>
              <w:rPr>
                <w:rFonts w:hint="eastAsia"/>
              </w:rPr>
              <w:t>环保措施</w:t>
            </w:r>
          </w:p>
        </w:tc>
        <w:tc>
          <w:tcPr>
            <w:tcW w:w="491" w:type="dxa"/>
            <w:vMerge w:val="restart"/>
            <w:vAlign w:val="center"/>
          </w:tcPr>
          <w:p>
            <w:pPr>
              <w:pStyle w:val="147"/>
            </w:pPr>
            <w:r>
              <w:rPr>
                <w:rFonts w:hint="eastAsia"/>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445" w:type="dxa"/>
            <w:vMerge w:val="continue"/>
            <w:vAlign w:val="center"/>
          </w:tcPr>
          <w:p>
            <w:pPr>
              <w:pStyle w:val="147"/>
            </w:pPr>
          </w:p>
        </w:tc>
        <w:tc>
          <w:tcPr>
            <w:tcW w:w="765" w:type="dxa"/>
            <w:vMerge w:val="continue"/>
            <w:vAlign w:val="center"/>
          </w:tcPr>
          <w:p>
            <w:pPr>
              <w:pStyle w:val="147"/>
            </w:pPr>
          </w:p>
        </w:tc>
        <w:tc>
          <w:tcPr>
            <w:tcW w:w="2663" w:type="dxa"/>
            <w:vMerge w:val="continue"/>
            <w:tcBorders>
              <w:bottom w:val="single" w:color="auto" w:sz="4" w:space="0"/>
            </w:tcBorders>
            <w:vAlign w:val="center"/>
          </w:tcPr>
          <w:p>
            <w:pPr>
              <w:pStyle w:val="147"/>
            </w:pPr>
          </w:p>
        </w:tc>
        <w:tc>
          <w:tcPr>
            <w:tcW w:w="866" w:type="dxa"/>
            <w:tcBorders>
              <w:bottom w:val="single" w:color="auto" w:sz="4" w:space="0"/>
            </w:tcBorders>
            <w:vAlign w:val="center"/>
          </w:tcPr>
          <w:p>
            <w:pPr>
              <w:pStyle w:val="147"/>
            </w:pPr>
            <w:r>
              <w:rPr>
                <w:rFonts w:hint="eastAsia"/>
              </w:rPr>
              <w:t>施工期</w:t>
            </w:r>
          </w:p>
        </w:tc>
        <w:tc>
          <w:tcPr>
            <w:tcW w:w="869" w:type="dxa"/>
            <w:tcBorders>
              <w:bottom w:val="single" w:color="auto" w:sz="4" w:space="0"/>
            </w:tcBorders>
            <w:vAlign w:val="center"/>
          </w:tcPr>
          <w:p>
            <w:pPr>
              <w:pStyle w:val="147"/>
            </w:pPr>
            <w:r>
              <w:rPr>
                <w:rFonts w:hint="eastAsia"/>
              </w:rPr>
              <w:t>营运期</w:t>
            </w:r>
          </w:p>
        </w:tc>
        <w:tc>
          <w:tcPr>
            <w:tcW w:w="2609" w:type="dxa"/>
            <w:vMerge w:val="continue"/>
            <w:vAlign w:val="center"/>
          </w:tcPr>
          <w:p>
            <w:pPr>
              <w:pStyle w:val="147"/>
            </w:pPr>
          </w:p>
        </w:tc>
        <w:tc>
          <w:tcPr>
            <w:tcW w:w="491" w:type="dxa"/>
            <w:vMerge w:val="continue"/>
            <w:vAlign w:val="center"/>
          </w:tcPr>
          <w:p>
            <w:pPr>
              <w:pStyle w:val="147"/>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45" w:type="dxa"/>
            <w:vMerge w:val="restart"/>
            <w:tcBorders>
              <w:top w:val="single" w:color="auto" w:sz="4" w:space="0"/>
            </w:tcBorders>
            <w:vAlign w:val="center"/>
          </w:tcPr>
          <w:p>
            <w:pPr>
              <w:pStyle w:val="147"/>
            </w:pPr>
            <w:r>
              <w:rPr>
                <w:rFonts w:hint="eastAsia"/>
              </w:rPr>
              <w:t>主体工程</w:t>
            </w:r>
          </w:p>
        </w:tc>
        <w:tc>
          <w:tcPr>
            <w:tcW w:w="765" w:type="dxa"/>
            <w:tcBorders>
              <w:top w:val="single" w:color="auto" w:sz="4" w:space="0"/>
            </w:tcBorders>
            <w:vAlign w:val="center"/>
          </w:tcPr>
          <w:p>
            <w:pPr>
              <w:pStyle w:val="147"/>
            </w:pPr>
            <w:r>
              <w:rPr>
                <w:rFonts w:hint="eastAsia"/>
              </w:rPr>
              <w:t>MOVE实验楼</w:t>
            </w:r>
          </w:p>
        </w:tc>
        <w:tc>
          <w:tcPr>
            <w:tcW w:w="2663" w:type="dxa"/>
            <w:tcBorders>
              <w:top w:val="single" w:color="auto" w:sz="4" w:space="0"/>
              <w:bottom w:val="single" w:color="auto" w:sz="4" w:space="0"/>
              <w:right w:val="single" w:color="auto" w:sz="4" w:space="0"/>
            </w:tcBorders>
            <w:vAlign w:val="center"/>
          </w:tcPr>
          <w:p>
            <w:pPr>
              <w:pStyle w:val="147"/>
            </w:pPr>
            <w:r>
              <w:rPr>
                <w:rFonts w:hint="eastAsia"/>
              </w:rPr>
              <w:t>在厂区现有MOVE单体楼东侧扩建4跨、西侧扩建1跨，扩建后占地</w:t>
            </w:r>
            <w:r>
              <w:rPr>
                <w:rFonts w:hint="eastAsia"/>
                <w:lang w:val="en-US" w:eastAsia="zh-CN"/>
              </w:rPr>
              <w:t>432</w:t>
            </w:r>
            <w:r>
              <w:rPr>
                <w:rFonts w:hint="eastAsia"/>
              </w:rPr>
              <w:t>m</w:t>
            </w:r>
            <w:r>
              <w:rPr>
                <w:rFonts w:hint="eastAsia"/>
                <w:vertAlign w:val="superscript"/>
              </w:rPr>
              <w:t>2</w:t>
            </w:r>
            <w:r>
              <w:rPr>
                <w:rFonts w:hint="eastAsia"/>
              </w:rPr>
              <w:t>，建筑面积新增</w:t>
            </w:r>
            <w:r>
              <w:rPr>
                <w:rFonts w:hint="eastAsia"/>
                <w:lang w:val="en-US" w:eastAsia="zh-CN"/>
              </w:rPr>
              <w:t>886</w:t>
            </w:r>
            <w:r>
              <w:rPr>
                <w:rFonts w:hint="eastAsia"/>
              </w:rPr>
              <w:t xml:space="preserve"> m</w:t>
            </w:r>
            <w:r>
              <w:rPr>
                <w:rFonts w:hint="eastAsia"/>
                <w:vertAlign w:val="superscript"/>
              </w:rPr>
              <w:t>2</w:t>
            </w:r>
            <w:r>
              <w:rPr>
                <w:rFonts w:hint="eastAsia"/>
              </w:rPr>
              <w:t>，钢混框架结构，甲类厂房。</w:t>
            </w:r>
          </w:p>
          <w:p>
            <w:pPr>
              <w:pStyle w:val="147"/>
            </w:pPr>
            <w:r>
              <w:t>单体楼设有</w:t>
            </w:r>
            <w:r>
              <w:rPr>
                <w:rFonts w:hint="eastAsia"/>
              </w:rPr>
              <w:t>MOVE和POPVE单体试验装置。</w:t>
            </w:r>
          </w:p>
        </w:tc>
        <w:tc>
          <w:tcPr>
            <w:tcW w:w="866" w:type="dxa"/>
            <w:vMerge w:val="restart"/>
            <w:tcBorders>
              <w:top w:val="single" w:color="auto" w:sz="4" w:space="0"/>
              <w:left w:val="single" w:color="auto" w:sz="4" w:space="0"/>
              <w:right w:val="single" w:color="auto" w:sz="4" w:space="0"/>
            </w:tcBorders>
            <w:vAlign w:val="center"/>
          </w:tcPr>
          <w:p>
            <w:pPr>
              <w:pStyle w:val="147"/>
            </w:pPr>
            <w:r>
              <w:rPr>
                <w:rFonts w:hint="eastAsia"/>
              </w:rPr>
              <w:t>施工噪声、废水、扬尘、建渣</w:t>
            </w:r>
          </w:p>
        </w:tc>
        <w:tc>
          <w:tcPr>
            <w:tcW w:w="869" w:type="dxa"/>
            <w:vMerge w:val="restart"/>
            <w:tcBorders>
              <w:top w:val="single" w:color="auto" w:sz="4" w:space="0"/>
              <w:left w:val="single" w:color="auto" w:sz="4" w:space="0"/>
            </w:tcBorders>
            <w:vAlign w:val="center"/>
          </w:tcPr>
          <w:p>
            <w:pPr>
              <w:pStyle w:val="147"/>
            </w:pPr>
            <w:r>
              <w:rPr>
                <w:rFonts w:hint="eastAsia"/>
              </w:rPr>
              <w:t>废气、固废、废液、废水</w:t>
            </w:r>
          </w:p>
        </w:tc>
        <w:tc>
          <w:tcPr>
            <w:tcW w:w="2609" w:type="dxa"/>
            <w:tcBorders>
              <w:top w:val="single" w:color="auto" w:sz="4" w:space="0"/>
            </w:tcBorders>
            <w:vAlign w:val="center"/>
          </w:tcPr>
          <w:p>
            <w:pPr>
              <w:pStyle w:val="147"/>
            </w:pPr>
            <w:r>
              <w:rPr>
                <w:rFonts w:hint="eastAsia"/>
              </w:rPr>
              <w:t>废气：经二级水洗+碱洗+二级活性炭吸附处理，后经1根25m排气筒外排。</w:t>
            </w:r>
          </w:p>
          <w:p>
            <w:pPr>
              <w:pStyle w:val="147"/>
            </w:pPr>
            <w:r>
              <w:rPr>
                <w:rFonts w:hint="eastAsia"/>
              </w:rPr>
              <w:t>废水：废水依托厂区现有综合废水站预处理达标后送园区污水处理厂进一步处理；</w:t>
            </w:r>
          </w:p>
          <w:p>
            <w:pPr>
              <w:pStyle w:val="147"/>
            </w:pPr>
            <w:r>
              <w:rPr>
                <w:rFonts w:hint="eastAsia"/>
              </w:rPr>
              <w:t>固废：废电解液外委有资质厂家回收；精（蒸）馏残液送等离子焚烧炉处置；</w:t>
            </w:r>
          </w:p>
          <w:p>
            <w:pPr>
              <w:pStyle w:val="147"/>
            </w:pPr>
            <w:r>
              <w:rPr>
                <w:rFonts w:hint="eastAsia"/>
              </w:rPr>
              <w:t>设备噪声：优化总图、减震隔声等措施。</w:t>
            </w:r>
          </w:p>
        </w:tc>
        <w:tc>
          <w:tcPr>
            <w:tcW w:w="491" w:type="dxa"/>
            <w:tcBorders>
              <w:top w:val="single" w:color="auto" w:sz="4" w:space="0"/>
            </w:tcBorders>
            <w:vAlign w:val="center"/>
          </w:tcPr>
          <w:p>
            <w:pPr>
              <w:pStyle w:val="147"/>
            </w:pPr>
            <w:r>
              <w:rPr>
                <w:rFonts w:hint="eastAsia"/>
              </w:rPr>
              <w:t>改造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45" w:type="dxa"/>
            <w:vMerge w:val="continue"/>
            <w:vAlign w:val="center"/>
          </w:tcPr>
          <w:p>
            <w:pPr>
              <w:pStyle w:val="147"/>
            </w:pPr>
          </w:p>
        </w:tc>
        <w:tc>
          <w:tcPr>
            <w:tcW w:w="765" w:type="dxa"/>
            <w:vMerge w:val="restart"/>
            <w:tcBorders>
              <w:top w:val="single" w:color="auto" w:sz="4" w:space="0"/>
            </w:tcBorders>
            <w:vAlign w:val="center"/>
          </w:tcPr>
          <w:p>
            <w:pPr>
              <w:pStyle w:val="147"/>
            </w:pPr>
            <w:r>
              <w:rPr>
                <w:rFonts w:hint="eastAsia"/>
              </w:rPr>
              <w:t>氟醚橡胶实验楼</w:t>
            </w:r>
          </w:p>
        </w:tc>
        <w:tc>
          <w:tcPr>
            <w:tcW w:w="2663" w:type="dxa"/>
            <w:tcBorders>
              <w:top w:val="single" w:color="auto" w:sz="4" w:space="0"/>
              <w:bottom w:val="single" w:color="auto" w:sz="4" w:space="0"/>
              <w:right w:val="single" w:color="auto" w:sz="4" w:space="0"/>
            </w:tcBorders>
            <w:vAlign w:val="center"/>
          </w:tcPr>
          <w:p>
            <w:pPr>
              <w:pStyle w:val="147"/>
            </w:pPr>
            <w:r>
              <w:rPr>
                <w:rFonts w:hint="eastAsia"/>
              </w:rPr>
              <w:t>聚合楼：利用原富腾公司聚合楼进行改造，建筑面积1182.65平方米，占地面积565.95平方米，建筑物层数2层（局部4层）。钢混框架结构。聚合生产区、后处理生产区等区域。</w:t>
            </w:r>
          </w:p>
        </w:tc>
        <w:tc>
          <w:tcPr>
            <w:tcW w:w="866" w:type="dxa"/>
            <w:vMerge w:val="continue"/>
            <w:tcBorders>
              <w:left w:val="single" w:color="auto" w:sz="4" w:space="0"/>
              <w:right w:val="single" w:color="auto" w:sz="4" w:space="0"/>
            </w:tcBorders>
            <w:vAlign w:val="center"/>
          </w:tcPr>
          <w:p>
            <w:pPr>
              <w:pStyle w:val="147"/>
            </w:pPr>
          </w:p>
        </w:tc>
        <w:tc>
          <w:tcPr>
            <w:tcW w:w="869" w:type="dxa"/>
            <w:vMerge w:val="continue"/>
            <w:tcBorders>
              <w:left w:val="single" w:color="auto" w:sz="4" w:space="0"/>
            </w:tcBorders>
            <w:vAlign w:val="center"/>
          </w:tcPr>
          <w:p>
            <w:pPr>
              <w:pStyle w:val="147"/>
            </w:pPr>
          </w:p>
        </w:tc>
        <w:tc>
          <w:tcPr>
            <w:tcW w:w="2609" w:type="dxa"/>
            <w:vMerge w:val="restart"/>
            <w:vAlign w:val="center"/>
          </w:tcPr>
          <w:p>
            <w:pPr>
              <w:pStyle w:val="147"/>
            </w:pPr>
            <w:r>
              <w:rPr>
                <w:rFonts w:hint="eastAsia"/>
              </w:rPr>
              <w:t>废气：经1套活性炭吸附装置处理，后经1根15m排气筒外排。</w:t>
            </w:r>
          </w:p>
          <w:p>
            <w:pPr>
              <w:pStyle w:val="147"/>
            </w:pPr>
            <w:r>
              <w:rPr>
                <w:rFonts w:hint="eastAsia"/>
              </w:rPr>
              <w:t>废水：废水依托厂区现有含氟废水处理站预处理达标后送园区污水厂进一步处理；</w:t>
            </w:r>
          </w:p>
          <w:p>
            <w:pPr>
              <w:pStyle w:val="147"/>
            </w:pPr>
            <w:r>
              <w:rPr>
                <w:rFonts w:hint="eastAsia"/>
              </w:rPr>
              <w:t>固废：废油外委有资质的危废处置单位处置；</w:t>
            </w:r>
          </w:p>
          <w:p>
            <w:pPr>
              <w:pStyle w:val="147"/>
            </w:pPr>
            <w:r>
              <w:rPr>
                <w:rFonts w:hint="eastAsia"/>
              </w:rPr>
              <w:t>设备噪声：优化总图、减震隔声等措施。</w:t>
            </w:r>
          </w:p>
        </w:tc>
        <w:tc>
          <w:tcPr>
            <w:tcW w:w="491" w:type="dxa"/>
            <w:vMerge w:val="restart"/>
            <w:vAlign w:val="center"/>
          </w:tcPr>
          <w:p>
            <w:pPr>
              <w:pStyle w:val="147"/>
            </w:pPr>
            <w:r>
              <w:rPr>
                <w:rFonts w:hint="eastAsia"/>
              </w:rPr>
              <w:t>改造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45" w:type="dxa"/>
            <w:vMerge w:val="continue"/>
            <w:vAlign w:val="center"/>
          </w:tcPr>
          <w:p>
            <w:pPr>
              <w:pStyle w:val="147"/>
            </w:pPr>
          </w:p>
        </w:tc>
        <w:tc>
          <w:tcPr>
            <w:tcW w:w="765" w:type="dxa"/>
            <w:vMerge w:val="continue"/>
            <w:vAlign w:val="center"/>
          </w:tcPr>
          <w:p>
            <w:pPr>
              <w:pStyle w:val="147"/>
            </w:pPr>
          </w:p>
        </w:tc>
        <w:tc>
          <w:tcPr>
            <w:tcW w:w="2663" w:type="dxa"/>
            <w:tcBorders>
              <w:top w:val="single" w:color="auto" w:sz="4" w:space="0"/>
              <w:bottom w:val="single" w:color="auto" w:sz="4" w:space="0"/>
              <w:right w:val="single" w:color="auto" w:sz="4" w:space="0"/>
            </w:tcBorders>
            <w:vAlign w:val="center"/>
          </w:tcPr>
          <w:p>
            <w:pPr>
              <w:pStyle w:val="147"/>
            </w:pPr>
            <w:r>
              <w:rPr>
                <w:rFonts w:hint="eastAsia"/>
                <w:bCs/>
              </w:rPr>
              <w:t>在主装置西侧扩建1跨厂房，建筑面积</w:t>
            </w:r>
            <w:r>
              <w:rPr>
                <w:rFonts w:hint="eastAsia"/>
                <w:bCs/>
                <w:lang w:val="en-US" w:eastAsia="zh-CN"/>
              </w:rPr>
              <w:t>140.82</w:t>
            </w:r>
            <w:r>
              <w:rPr>
                <w:rFonts w:hint="eastAsia"/>
                <w:bCs/>
              </w:rPr>
              <w:t>平方米，占地</w:t>
            </w:r>
            <w:r>
              <w:rPr>
                <w:rFonts w:hint="eastAsia"/>
                <w:bCs/>
                <w:lang w:val="en-US" w:eastAsia="zh-CN"/>
              </w:rPr>
              <w:t>140.82</w:t>
            </w:r>
            <w:r>
              <w:rPr>
                <w:rFonts w:hint="eastAsia"/>
                <w:bCs/>
              </w:rPr>
              <w:t>平方米，建筑层数二层，钢筋混凝土框架结构。用于布置巡检室、工具间等。</w:t>
            </w:r>
          </w:p>
        </w:tc>
        <w:tc>
          <w:tcPr>
            <w:tcW w:w="866" w:type="dxa"/>
            <w:vMerge w:val="continue"/>
            <w:tcBorders>
              <w:left w:val="single" w:color="auto" w:sz="4" w:space="0"/>
              <w:right w:val="single" w:color="auto" w:sz="4" w:space="0"/>
            </w:tcBorders>
            <w:vAlign w:val="center"/>
          </w:tcPr>
          <w:p>
            <w:pPr>
              <w:pStyle w:val="147"/>
            </w:pPr>
          </w:p>
        </w:tc>
        <w:tc>
          <w:tcPr>
            <w:tcW w:w="869" w:type="dxa"/>
            <w:vMerge w:val="continue"/>
            <w:tcBorders>
              <w:left w:val="single" w:color="auto" w:sz="4" w:space="0"/>
            </w:tcBorders>
            <w:vAlign w:val="center"/>
          </w:tcPr>
          <w:p>
            <w:pPr>
              <w:pStyle w:val="147"/>
            </w:pPr>
          </w:p>
        </w:tc>
        <w:tc>
          <w:tcPr>
            <w:tcW w:w="2609" w:type="dxa"/>
            <w:vMerge w:val="continue"/>
            <w:vAlign w:val="center"/>
          </w:tcPr>
          <w:p>
            <w:pPr>
              <w:pStyle w:val="147"/>
            </w:pPr>
          </w:p>
        </w:tc>
        <w:tc>
          <w:tcPr>
            <w:tcW w:w="491" w:type="dxa"/>
            <w:vMerge w:val="continue"/>
            <w:vAlign w:val="center"/>
          </w:tcPr>
          <w:p>
            <w:pPr>
              <w:pStyle w:val="147"/>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45" w:type="dxa"/>
            <w:vMerge w:val="continue"/>
            <w:vAlign w:val="center"/>
          </w:tcPr>
          <w:p>
            <w:pPr>
              <w:pStyle w:val="147"/>
            </w:pPr>
          </w:p>
        </w:tc>
        <w:tc>
          <w:tcPr>
            <w:tcW w:w="765" w:type="dxa"/>
            <w:tcBorders>
              <w:top w:val="single" w:color="auto" w:sz="4" w:space="0"/>
            </w:tcBorders>
            <w:vAlign w:val="center"/>
          </w:tcPr>
          <w:p>
            <w:pPr>
              <w:pStyle w:val="147"/>
            </w:pPr>
            <w:r>
              <w:rPr>
                <w:rFonts w:hint="eastAsia"/>
              </w:rPr>
              <w:t>质检中心</w:t>
            </w:r>
          </w:p>
        </w:tc>
        <w:tc>
          <w:tcPr>
            <w:tcW w:w="2663" w:type="dxa"/>
            <w:tcBorders>
              <w:top w:val="single" w:color="auto" w:sz="4" w:space="0"/>
              <w:bottom w:val="single" w:color="auto" w:sz="4" w:space="0"/>
              <w:right w:val="single" w:color="auto" w:sz="4" w:space="0"/>
            </w:tcBorders>
            <w:vAlign w:val="center"/>
          </w:tcPr>
          <w:p>
            <w:pPr>
              <w:pStyle w:val="147"/>
            </w:pPr>
            <w:r>
              <w:rPr>
                <w:rFonts w:hint="eastAsia"/>
              </w:rPr>
              <w:t>占地1416.1平方米，建筑面积4248.29平方米，建筑层数3层，砖混结构，改造面积271平方米。</w:t>
            </w:r>
          </w:p>
          <w:p>
            <w:pPr>
              <w:pStyle w:val="147"/>
            </w:pPr>
            <w:r>
              <w:rPr>
                <w:rFonts w:hint="eastAsia"/>
              </w:rPr>
              <w:t>新增电子万能材料试验机、凝胶色谱、门尼粘度仪等检测仪器，计划利用现有旧实验室布置，利用建筑面积304平方米。</w:t>
            </w:r>
          </w:p>
        </w:tc>
        <w:tc>
          <w:tcPr>
            <w:tcW w:w="866" w:type="dxa"/>
            <w:vMerge w:val="continue"/>
            <w:tcBorders>
              <w:left w:val="single" w:color="auto" w:sz="4" w:space="0"/>
              <w:right w:val="single" w:color="auto" w:sz="4" w:space="0"/>
            </w:tcBorders>
            <w:vAlign w:val="center"/>
          </w:tcPr>
          <w:p>
            <w:pPr>
              <w:pStyle w:val="147"/>
            </w:pPr>
          </w:p>
        </w:tc>
        <w:tc>
          <w:tcPr>
            <w:tcW w:w="869" w:type="dxa"/>
            <w:tcBorders>
              <w:top w:val="single" w:color="auto" w:sz="4" w:space="0"/>
              <w:left w:val="single" w:color="auto" w:sz="4" w:space="0"/>
              <w:bottom w:val="single" w:color="auto" w:sz="4" w:space="0"/>
            </w:tcBorders>
            <w:vAlign w:val="center"/>
          </w:tcPr>
          <w:p>
            <w:pPr>
              <w:pStyle w:val="147"/>
            </w:pPr>
            <w:r>
              <w:rPr>
                <w:rFonts w:hint="eastAsia"/>
              </w:rPr>
              <w:t>废气、固废、废液、废水</w:t>
            </w:r>
          </w:p>
        </w:tc>
        <w:tc>
          <w:tcPr>
            <w:tcW w:w="2609" w:type="dxa"/>
            <w:tcBorders>
              <w:top w:val="single" w:color="auto" w:sz="4" w:space="0"/>
            </w:tcBorders>
            <w:vAlign w:val="center"/>
          </w:tcPr>
          <w:p>
            <w:pPr>
              <w:pStyle w:val="147"/>
            </w:pPr>
            <w:r>
              <w:rPr>
                <w:rFonts w:hint="eastAsia"/>
              </w:rPr>
              <w:t>废气：经1套活性炭吸附装置处理，后经1根15m排气筒外排。</w:t>
            </w:r>
          </w:p>
          <w:p>
            <w:pPr>
              <w:pStyle w:val="147"/>
            </w:pPr>
            <w:r>
              <w:rPr>
                <w:rFonts w:hint="eastAsia"/>
              </w:rPr>
              <w:t>废水：本项目不新增劳动定员，不新增生活废水；</w:t>
            </w:r>
          </w:p>
          <w:p>
            <w:pPr>
              <w:pStyle w:val="147"/>
            </w:pPr>
            <w:r>
              <w:rPr>
                <w:rFonts w:hint="eastAsia"/>
              </w:rPr>
              <w:t>固废：废有机溶剂外委有危废处理资质单位处理。</w:t>
            </w:r>
          </w:p>
          <w:p>
            <w:pPr>
              <w:pStyle w:val="147"/>
            </w:pPr>
            <w:r>
              <w:rPr>
                <w:rFonts w:hint="eastAsia"/>
              </w:rPr>
              <w:t>设备噪声：优化总图、减震隔声等措施。</w:t>
            </w:r>
          </w:p>
        </w:tc>
        <w:tc>
          <w:tcPr>
            <w:tcW w:w="491" w:type="dxa"/>
            <w:tcBorders>
              <w:top w:val="single" w:color="auto" w:sz="4" w:space="0"/>
            </w:tcBorders>
            <w:vAlign w:val="center"/>
          </w:tcPr>
          <w:p>
            <w:pPr>
              <w:pStyle w:val="147"/>
            </w:pPr>
            <w:r>
              <w:rPr>
                <w:rFonts w:hint="eastAsia"/>
              </w:rPr>
              <w:t>改造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45" w:type="dxa"/>
            <w:vMerge w:val="continue"/>
            <w:tcBorders>
              <w:bottom w:val="single" w:color="auto" w:sz="4" w:space="0"/>
            </w:tcBorders>
            <w:vAlign w:val="center"/>
          </w:tcPr>
          <w:p>
            <w:pPr>
              <w:pStyle w:val="147"/>
            </w:pPr>
          </w:p>
        </w:tc>
        <w:tc>
          <w:tcPr>
            <w:tcW w:w="765" w:type="dxa"/>
            <w:tcBorders>
              <w:top w:val="single" w:color="auto" w:sz="4" w:space="0"/>
              <w:bottom w:val="single" w:color="auto" w:sz="4" w:space="0"/>
            </w:tcBorders>
            <w:vAlign w:val="center"/>
          </w:tcPr>
          <w:p>
            <w:pPr>
              <w:pStyle w:val="147"/>
            </w:pPr>
            <w:r>
              <w:rPr>
                <w:rFonts w:hint="eastAsia"/>
              </w:rPr>
              <w:t>综合控制楼</w:t>
            </w:r>
          </w:p>
        </w:tc>
        <w:tc>
          <w:tcPr>
            <w:tcW w:w="2663" w:type="dxa"/>
            <w:tcBorders>
              <w:top w:val="single" w:color="auto" w:sz="4" w:space="0"/>
              <w:bottom w:val="single" w:color="auto" w:sz="4" w:space="0"/>
              <w:right w:val="single" w:color="auto" w:sz="4" w:space="0"/>
            </w:tcBorders>
            <w:vAlign w:val="center"/>
          </w:tcPr>
          <w:p>
            <w:pPr>
              <w:pStyle w:val="147"/>
            </w:pPr>
            <w:r>
              <w:rPr>
                <w:rFonts w:hint="eastAsia"/>
              </w:rPr>
              <w:t>新建综合控制楼占地面积</w:t>
            </w:r>
            <w:r>
              <w:rPr>
                <w:rFonts w:hint="eastAsia"/>
                <w:lang w:val="en-US" w:eastAsia="zh-CN"/>
              </w:rPr>
              <w:t>374.27</w:t>
            </w:r>
            <w:r>
              <w:rPr>
                <w:rFonts w:hint="eastAsia"/>
              </w:rPr>
              <w:t>m</w:t>
            </w:r>
            <w:r>
              <w:rPr>
                <w:rFonts w:hint="eastAsia"/>
                <w:vertAlign w:val="superscript"/>
              </w:rPr>
              <w:t>2</w:t>
            </w:r>
            <w:r>
              <w:rPr>
                <w:rFonts w:hint="eastAsia"/>
              </w:rPr>
              <w:t>，建筑面积</w:t>
            </w:r>
            <w:r>
              <w:rPr>
                <w:rFonts w:hint="eastAsia"/>
                <w:lang w:val="en-US" w:eastAsia="zh-CN"/>
              </w:rPr>
              <w:t>374.27</w:t>
            </w:r>
            <w:r>
              <w:rPr>
                <w:rFonts w:hint="eastAsia"/>
              </w:rPr>
              <w:t>m</w:t>
            </w:r>
            <w:r>
              <w:rPr>
                <w:rFonts w:hint="eastAsia"/>
                <w:vertAlign w:val="superscript"/>
              </w:rPr>
              <w:t>2</w:t>
            </w:r>
            <w:r>
              <w:rPr>
                <w:rFonts w:hint="eastAsia"/>
              </w:rPr>
              <w:t>。用于三个布置3个子项的控制室、办公室、人员更衣室、卫生间，MOVE关键单体、POPVE关键单体的配电室、机柜间。</w:t>
            </w:r>
          </w:p>
        </w:tc>
        <w:tc>
          <w:tcPr>
            <w:tcW w:w="866" w:type="dxa"/>
            <w:vMerge w:val="continue"/>
            <w:tcBorders>
              <w:left w:val="single" w:color="auto" w:sz="4" w:space="0"/>
              <w:right w:val="single" w:color="auto" w:sz="4" w:space="0"/>
            </w:tcBorders>
            <w:vAlign w:val="center"/>
          </w:tcPr>
          <w:p>
            <w:pPr>
              <w:pStyle w:val="147"/>
            </w:pPr>
          </w:p>
        </w:tc>
        <w:tc>
          <w:tcPr>
            <w:tcW w:w="869" w:type="dxa"/>
            <w:tcBorders>
              <w:top w:val="single" w:color="auto" w:sz="4" w:space="0"/>
              <w:left w:val="single" w:color="auto" w:sz="4" w:space="0"/>
              <w:bottom w:val="single" w:color="auto" w:sz="4" w:space="0"/>
            </w:tcBorders>
            <w:vAlign w:val="center"/>
          </w:tcPr>
          <w:p>
            <w:pPr>
              <w:pStyle w:val="147"/>
            </w:pPr>
            <w:r>
              <w:rPr>
                <w:rFonts w:hint="eastAsia"/>
              </w:rPr>
              <w:t>/</w:t>
            </w:r>
          </w:p>
        </w:tc>
        <w:tc>
          <w:tcPr>
            <w:tcW w:w="2609" w:type="dxa"/>
            <w:tcBorders>
              <w:top w:val="single" w:color="auto" w:sz="4" w:space="0"/>
              <w:bottom w:val="single" w:color="auto" w:sz="4" w:space="0"/>
            </w:tcBorders>
            <w:vAlign w:val="center"/>
          </w:tcPr>
          <w:p>
            <w:pPr>
              <w:pStyle w:val="147"/>
            </w:pPr>
            <w:r>
              <w:rPr>
                <w:rFonts w:hint="eastAsia"/>
              </w:rPr>
              <w:t>生活污水、生活垃圾</w:t>
            </w:r>
          </w:p>
        </w:tc>
        <w:tc>
          <w:tcPr>
            <w:tcW w:w="491" w:type="dxa"/>
            <w:tcBorders>
              <w:top w:val="single" w:color="auto" w:sz="4" w:space="0"/>
              <w:bottom w:val="single" w:color="auto" w:sz="4" w:space="0"/>
            </w:tcBorders>
            <w:vAlign w:val="center"/>
          </w:tcPr>
          <w:p>
            <w:pPr>
              <w:pStyle w:val="147"/>
            </w:pPr>
            <w:r>
              <w:rPr>
                <w:rFonts w:hint="eastAsi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445" w:type="dxa"/>
            <w:vMerge w:val="restart"/>
            <w:tcBorders>
              <w:top w:val="single" w:color="auto" w:sz="4" w:space="0"/>
            </w:tcBorders>
            <w:vAlign w:val="center"/>
          </w:tcPr>
          <w:p>
            <w:pPr>
              <w:pStyle w:val="147"/>
            </w:pPr>
            <w:r>
              <w:rPr>
                <w:rFonts w:hint="eastAsia"/>
              </w:rPr>
              <w:t>公辅工程</w:t>
            </w:r>
          </w:p>
        </w:tc>
        <w:tc>
          <w:tcPr>
            <w:tcW w:w="765" w:type="dxa"/>
            <w:tcBorders>
              <w:top w:val="single" w:color="auto" w:sz="4" w:space="0"/>
            </w:tcBorders>
            <w:vAlign w:val="center"/>
          </w:tcPr>
          <w:p>
            <w:pPr>
              <w:pStyle w:val="147"/>
              <w:rPr>
                <w:color w:val="000000"/>
              </w:rPr>
            </w:pPr>
            <w:r>
              <w:rPr>
                <w:rFonts w:hint="eastAsia"/>
                <w:color w:val="000000"/>
              </w:rPr>
              <w:t>供汽</w:t>
            </w:r>
          </w:p>
        </w:tc>
        <w:tc>
          <w:tcPr>
            <w:tcW w:w="2663" w:type="dxa"/>
            <w:tcBorders>
              <w:top w:val="single" w:color="auto" w:sz="4" w:space="0"/>
              <w:right w:val="single" w:color="auto" w:sz="4" w:space="0"/>
            </w:tcBorders>
            <w:vAlign w:val="center"/>
          </w:tcPr>
          <w:p>
            <w:pPr>
              <w:pStyle w:val="147"/>
            </w:pPr>
            <w:r>
              <w:rPr>
                <w:rFonts w:hint="eastAsia"/>
              </w:rPr>
              <w:t>项目蒸汽由金星化工硫酸副产蒸汽供给。</w:t>
            </w:r>
          </w:p>
        </w:tc>
        <w:tc>
          <w:tcPr>
            <w:tcW w:w="866" w:type="dxa"/>
            <w:vMerge w:val="continue"/>
            <w:tcBorders>
              <w:left w:val="single" w:color="auto" w:sz="4" w:space="0"/>
              <w:right w:val="single" w:color="auto" w:sz="4" w:space="0"/>
            </w:tcBorders>
            <w:vAlign w:val="center"/>
          </w:tcPr>
          <w:p>
            <w:pPr>
              <w:pStyle w:val="147"/>
            </w:pPr>
          </w:p>
        </w:tc>
        <w:tc>
          <w:tcPr>
            <w:tcW w:w="869" w:type="dxa"/>
            <w:tcBorders>
              <w:top w:val="single" w:color="auto" w:sz="4" w:space="0"/>
              <w:left w:val="single" w:color="auto" w:sz="4" w:space="0"/>
            </w:tcBorders>
            <w:vAlign w:val="center"/>
          </w:tcPr>
          <w:p>
            <w:pPr>
              <w:pStyle w:val="147"/>
            </w:pPr>
            <w:r>
              <w:rPr>
                <w:rFonts w:hint="eastAsia"/>
              </w:rPr>
              <w:t>烟气、噪声</w:t>
            </w:r>
          </w:p>
        </w:tc>
        <w:tc>
          <w:tcPr>
            <w:tcW w:w="2609" w:type="dxa"/>
            <w:tcBorders>
              <w:top w:val="single" w:color="auto" w:sz="4" w:space="0"/>
            </w:tcBorders>
            <w:vAlign w:val="center"/>
          </w:tcPr>
          <w:p>
            <w:pPr>
              <w:pStyle w:val="147"/>
              <w:rPr>
                <w:spacing w:val="4"/>
              </w:rPr>
            </w:pPr>
            <w:r>
              <w:rPr>
                <w:rFonts w:hint="eastAsia"/>
                <w:spacing w:val="4"/>
              </w:rPr>
              <w:t>冷凝水：送厂区循环水站作补水。</w:t>
            </w:r>
          </w:p>
        </w:tc>
        <w:tc>
          <w:tcPr>
            <w:tcW w:w="491" w:type="dxa"/>
            <w:tcBorders>
              <w:top w:val="single" w:color="auto" w:sz="4" w:space="0"/>
            </w:tcBorders>
            <w:vAlign w:val="center"/>
          </w:tcPr>
          <w:p>
            <w:pPr>
              <w:pStyle w:val="147"/>
              <w:rPr>
                <w:spacing w:val="4"/>
              </w:rPr>
            </w:pPr>
            <w:r>
              <w:rPr>
                <w:rFonts w:hint="eastAsia"/>
                <w:spacing w:val="4"/>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5" w:type="dxa"/>
            <w:vMerge w:val="continue"/>
            <w:vAlign w:val="center"/>
          </w:tcPr>
          <w:p>
            <w:pPr>
              <w:pStyle w:val="147"/>
            </w:pPr>
          </w:p>
        </w:tc>
        <w:tc>
          <w:tcPr>
            <w:tcW w:w="765" w:type="dxa"/>
            <w:vAlign w:val="center"/>
          </w:tcPr>
          <w:p>
            <w:pPr>
              <w:pStyle w:val="147"/>
              <w:rPr>
                <w:color w:val="000000"/>
              </w:rPr>
            </w:pPr>
            <w:r>
              <w:rPr>
                <w:rFonts w:hint="eastAsia"/>
                <w:color w:val="000000"/>
              </w:rPr>
              <w:t>给水</w:t>
            </w:r>
          </w:p>
        </w:tc>
        <w:tc>
          <w:tcPr>
            <w:tcW w:w="2663" w:type="dxa"/>
            <w:tcBorders>
              <w:right w:val="single" w:color="auto" w:sz="4" w:space="0"/>
            </w:tcBorders>
            <w:vAlign w:val="center"/>
          </w:tcPr>
          <w:p>
            <w:pPr>
              <w:pStyle w:val="147"/>
            </w:pPr>
            <w:r>
              <w:rPr>
                <w:rFonts w:hint="eastAsia"/>
              </w:rPr>
              <w:t>厂区现有取水站供水，供水能力为4.32万t/d，富余能力4800t/d。</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w:t>
            </w:r>
          </w:p>
        </w:tc>
        <w:tc>
          <w:tcPr>
            <w:tcW w:w="2609" w:type="dxa"/>
            <w:vAlign w:val="center"/>
          </w:tcPr>
          <w:p>
            <w:pPr>
              <w:pStyle w:val="147"/>
              <w:rPr>
                <w:spacing w:val="4"/>
              </w:rPr>
            </w:pPr>
            <w:r>
              <w:rPr>
                <w:rFonts w:hint="eastAsia"/>
              </w:rPr>
              <w:t>/</w:t>
            </w:r>
          </w:p>
        </w:tc>
        <w:tc>
          <w:tcPr>
            <w:tcW w:w="491" w:type="dxa"/>
            <w:vAlign w:val="center"/>
          </w:tcPr>
          <w:p>
            <w:pPr>
              <w:pStyle w:val="147"/>
            </w:pPr>
            <w:r>
              <w:rPr>
                <w:rFonts w:hint="eastAsia"/>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5" w:type="dxa"/>
            <w:vMerge w:val="continue"/>
            <w:vAlign w:val="center"/>
          </w:tcPr>
          <w:p>
            <w:pPr>
              <w:pStyle w:val="147"/>
            </w:pPr>
          </w:p>
        </w:tc>
        <w:tc>
          <w:tcPr>
            <w:tcW w:w="765" w:type="dxa"/>
            <w:vAlign w:val="center"/>
          </w:tcPr>
          <w:p>
            <w:pPr>
              <w:pStyle w:val="147"/>
              <w:rPr>
                <w:color w:val="000000"/>
              </w:rPr>
            </w:pPr>
            <w:r>
              <w:rPr>
                <w:rFonts w:hint="eastAsia"/>
                <w:color w:val="000000"/>
              </w:rPr>
              <w:t>电</w:t>
            </w:r>
          </w:p>
        </w:tc>
        <w:tc>
          <w:tcPr>
            <w:tcW w:w="2663" w:type="dxa"/>
            <w:tcBorders>
              <w:right w:val="single" w:color="auto" w:sz="4" w:space="0"/>
            </w:tcBorders>
            <w:vAlign w:val="center"/>
          </w:tcPr>
          <w:p>
            <w:pPr>
              <w:pStyle w:val="147"/>
            </w:pPr>
            <w:r>
              <w:rPr>
                <w:rFonts w:hint="eastAsia"/>
                <w:szCs w:val="18"/>
              </w:rPr>
              <w:t>依托厂区</w:t>
            </w:r>
            <w:r>
              <w:rPr>
                <w:szCs w:val="18"/>
              </w:rPr>
              <w:t>35kV</w:t>
            </w:r>
            <w:r>
              <w:rPr>
                <w:rFonts w:hAnsi="宋体"/>
                <w:szCs w:val="18"/>
              </w:rPr>
              <w:t>总变电站，</w:t>
            </w:r>
            <w:r>
              <w:rPr>
                <w:rFonts w:hint="eastAsia"/>
                <w:szCs w:val="18"/>
              </w:rPr>
              <w:t>通过</w:t>
            </w:r>
            <w:r>
              <w:rPr>
                <w:rFonts w:hint="eastAsia"/>
              </w:rPr>
              <w:t>10kV线路至厂区</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设备噪声</w:t>
            </w:r>
          </w:p>
        </w:tc>
        <w:tc>
          <w:tcPr>
            <w:tcW w:w="2609" w:type="dxa"/>
            <w:vAlign w:val="center"/>
          </w:tcPr>
          <w:p>
            <w:pPr>
              <w:pStyle w:val="147"/>
              <w:rPr>
                <w:spacing w:val="4"/>
              </w:rPr>
            </w:pPr>
            <w:r>
              <w:rPr>
                <w:rFonts w:hint="eastAsia"/>
                <w:spacing w:val="4"/>
              </w:rPr>
              <w:t>优化总图、隔声减震</w:t>
            </w:r>
          </w:p>
        </w:tc>
        <w:tc>
          <w:tcPr>
            <w:tcW w:w="491" w:type="dxa"/>
            <w:vAlign w:val="center"/>
          </w:tcPr>
          <w:p>
            <w:pPr>
              <w:pStyle w:val="147"/>
              <w:rPr>
                <w:spacing w:val="4"/>
              </w:rPr>
            </w:pPr>
            <w:r>
              <w:rPr>
                <w:rFonts w:hint="eastAsia"/>
                <w:spacing w:val="4"/>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Align w:val="center"/>
          </w:tcPr>
          <w:p>
            <w:pPr>
              <w:pStyle w:val="147"/>
              <w:rPr>
                <w:color w:val="000000"/>
              </w:rPr>
            </w:pPr>
            <w:r>
              <w:rPr>
                <w:rFonts w:hint="eastAsia"/>
                <w:color w:val="000000"/>
              </w:rPr>
              <w:t>冷冻站</w:t>
            </w:r>
          </w:p>
        </w:tc>
        <w:tc>
          <w:tcPr>
            <w:tcW w:w="2663" w:type="dxa"/>
            <w:tcBorders>
              <w:right w:val="single" w:color="auto" w:sz="4" w:space="0"/>
            </w:tcBorders>
            <w:vAlign w:val="center"/>
          </w:tcPr>
          <w:p>
            <w:pPr>
              <w:pStyle w:val="147"/>
            </w:pPr>
            <w:r>
              <w:rPr>
                <w:rFonts w:hint="eastAsia"/>
              </w:rPr>
              <w:t>依托</w:t>
            </w:r>
            <w:r>
              <w:rPr>
                <w:rFonts w:hint="eastAsia"/>
                <w:szCs w:val="18"/>
              </w:rPr>
              <w:t>厂区</w:t>
            </w:r>
            <w:r>
              <w:rPr>
                <w:szCs w:val="18"/>
              </w:rPr>
              <w:t>6</w:t>
            </w:r>
            <w:r>
              <w:rPr>
                <w:rFonts w:hAnsi="宋体"/>
                <w:szCs w:val="18"/>
              </w:rPr>
              <w:t>座装机容量</w:t>
            </w:r>
            <w:r>
              <w:rPr>
                <w:szCs w:val="18"/>
              </w:rPr>
              <w:t>21800k</w:t>
            </w:r>
            <w:r>
              <w:rPr>
                <w:rFonts w:hint="eastAsia"/>
                <w:szCs w:val="18"/>
              </w:rPr>
              <w:t>w。</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设备噪声</w:t>
            </w:r>
          </w:p>
        </w:tc>
        <w:tc>
          <w:tcPr>
            <w:tcW w:w="2609" w:type="dxa"/>
            <w:vAlign w:val="center"/>
          </w:tcPr>
          <w:p>
            <w:pPr>
              <w:pStyle w:val="147"/>
              <w:rPr>
                <w:spacing w:val="4"/>
              </w:rPr>
            </w:pPr>
            <w:r>
              <w:rPr>
                <w:rFonts w:hint="eastAsia"/>
                <w:spacing w:val="4"/>
              </w:rPr>
              <w:t>优化总图、隔声减震</w:t>
            </w:r>
          </w:p>
        </w:tc>
        <w:tc>
          <w:tcPr>
            <w:tcW w:w="491" w:type="dxa"/>
            <w:vAlign w:val="center"/>
          </w:tcPr>
          <w:p>
            <w:pPr>
              <w:pStyle w:val="147"/>
              <w:rPr>
                <w:spacing w:val="4"/>
              </w:rPr>
            </w:pPr>
            <w:r>
              <w:rPr>
                <w:rFonts w:hint="eastAsia"/>
                <w:spacing w:val="4"/>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Align w:val="center"/>
          </w:tcPr>
          <w:p>
            <w:pPr>
              <w:pStyle w:val="147"/>
              <w:rPr>
                <w:color w:val="000000"/>
              </w:rPr>
            </w:pPr>
            <w:r>
              <w:rPr>
                <w:rFonts w:hint="eastAsia"/>
                <w:color w:val="000000"/>
              </w:rPr>
              <w:t>循环水站</w:t>
            </w:r>
          </w:p>
        </w:tc>
        <w:tc>
          <w:tcPr>
            <w:tcW w:w="2663" w:type="dxa"/>
            <w:tcBorders>
              <w:right w:val="single" w:color="auto" w:sz="4" w:space="0"/>
            </w:tcBorders>
            <w:vAlign w:val="center"/>
          </w:tcPr>
          <w:p>
            <w:pPr>
              <w:pStyle w:val="147"/>
              <w:rPr>
                <w:rFonts w:ascii="宋体" w:hAnsi="宋体"/>
              </w:rPr>
            </w:pPr>
            <w:r>
              <w:rPr>
                <w:rFonts w:hint="eastAsia"/>
              </w:rPr>
              <w:t>依托厂区现有</w:t>
            </w:r>
            <w:r>
              <w:rPr>
                <w:rFonts w:hint="eastAsia"/>
                <w:szCs w:val="18"/>
              </w:rPr>
              <w:t>50</w:t>
            </w:r>
            <w:r>
              <w:rPr>
                <w:szCs w:val="18"/>
              </w:rPr>
              <w:t>00m</w:t>
            </w:r>
            <w:r>
              <w:rPr>
                <w:szCs w:val="18"/>
                <w:vertAlign w:val="superscript"/>
              </w:rPr>
              <w:t>3</w:t>
            </w:r>
            <w:r>
              <w:rPr>
                <w:szCs w:val="18"/>
              </w:rPr>
              <w:t>/h</w:t>
            </w:r>
            <w:r>
              <w:rPr>
                <w:rFonts w:hint="eastAsia"/>
              </w:rPr>
              <w:t>循环水站，</w:t>
            </w:r>
            <w:r>
              <w:rPr>
                <w:rFonts w:hint="eastAsia"/>
                <w:szCs w:val="18"/>
              </w:rPr>
              <w:t>富余能力约1000</w:t>
            </w:r>
            <w:r>
              <w:rPr>
                <w:szCs w:val="18"/>
              </w:rPr>
              <w:t xml:space="preserve"> m</w:t>
            </w:r>
            <w:r>
              <w:rPr>
                <w:szCs w:val="18"/>
                <w:vertAlign w:val="superscript"/>
              </w:rPr>
              <w:t>3</w:t>
            </w:r>
            <w:r>
              <w:rPr>
                <w:szCs w:val="18"/>
              </w:rPr>
              <w:t>/h</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循环水排水</w:t>
            </w:r>
          </w:p>
        </w:tc>
        <w:tc>
          <w:tcPr>
            <w:tcW w:w="2609" w:type="dxa"/>
            <w:vAlign w:val="center"/>
          </w:tcPr>
          <w:p>
            <w:pPr>
              <w:pStyle w:val="147"/>
              <w:rPr>
                <w:spacing w:val="4"/>
              </w:rPr>
            </w:pPr>
            <w:r>
              <w:rPr>
                <w:rFonts w:hint="eastAsia"/>
                <w:spacing w:val="4"/>
              </w:rPr>
              <w:t>外排</w:t>
            </w:r>
          </w:p>
        </w:tc>
        <w:tc>
          <w:tcPr>
            <w:tcW w:w="491" w:type="dxa"/>
            <w:vAlign w:val="center"/>
          </w:tcPr>
          <w:p>
            <w:pPr>
              <w:pStyle w:val="147"/>
              <w:rPr>
                <w:spacing w:val="4"/>
              </w:rPr>
            </w:pPr>
            <w:r>
              <w:rPr>
                <w:rFonts w:hint="eastAsia"/>
                <w:spacing w:val="4"/>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Align w:val="center"/>
          </w:tcPr>
          <w:p>
            <w:pPr>
              <w:pStyle w:val="147"/>
              <w:rPr>
                <w:color w:val="000000"/>
              </w:rPr>
            </w:pPr>
            <w:r>
              <w:rPr>
                <w:rFonts w:hint="eastAsia"/>
                <w:color w:val="000000"/>
              </w:rPr>
              <w:t>软水站</w:t>
            </w:r>
          </w:p>
        </w:tc>
        <w:tc>
          <w:tcPr>
            <w:tcW w:w="2663" w:type="dxa"/>
            <w:tcBorders>
              <w:right w:val="single" w:color="auto" w:sz="4" w:space="0"/>
            </w:tcBorders>
            <w:vAlign w:val="center"/>
          </w:tcPr>
          <w:p>
            <w:pPr>
              <w:pStyle w:val="147"/>
              <w:rPr>
                <w:rFonts w:ascii="宋体" w:hAnsi="宋体"/>
              </w:rPr>
            </w:pPr>
            <w:r>
              <w:rPr>
                <w:rFonts w:hint="eastAsia"/>
              </w:rPr>
              <w:t>依托厂区现有软水站 110t/h，采用膜渗透法，富余能力25t/h。</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软水站排水</w:t>
            </w:r>
          </w:p>
        </w:tc>
        <w:tc>
          <w:tcPr>
            <w:tcW w:w="2609" w:type="dxa"/>
            <w:vAlign w:val="center"/>
          </w:tcPr>
          <w:p>
            <w:pPr>
              <w:pStyle w:val="147"/>
              <w:rPr>
                <w:spacing w:val="4"/>
              </w:rPr>
            </w:pPr>
            <w:r>
              <w:rPr>
                <w:rFonts w:hint="eastAsia"/>
                <w:spacing w:val="4"/>
              </w:rPr>
              <w:t>排至厂区综合废水站</w:t>
            </w:r>
          </w:p>
        </w:tc>
        <w:tc>
          <w:tcPr>
            <w:tcW w:w="491" w:type="dxa"/>
            <w:vAlign w:val="center"/>
          </w:tcPr>
          <w:p>
            <w:pPr>
              <w:pStyle w:val="147"/>
              <w:rPr>
                <w:spacing w:val="4"/>
              </w:rPr>
            </w:pPr>
            <w:r>
              <w:rPr>
                <w:rFonts w:hint="eastAsia"/>
                <w:spacing w:val="4"/>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restart"/>
            <w:vAlign w:val="center"/>
          </w:tcPr>
          <w:p>
            <w:pPr>
              <w:pStyle w:val="147"/>
            </w:pPr>
            <w:r>
              <w:rPr>
                <w:rFonts w:hint="eastAsia"/>
              </w:rPr>
              <w:t>贮运设施</w:t>
            </w:r>
          </w:p>
        </w:tc>
        <w:tc>
          <w:tcPr>
            <w:tcW w:w="765" w:type="dxa"/>
            <w:vAlign w:val="center"/>
          </w:tcPr>
          <w:p>
            <w:pPr>
              <w:pStyle w:val="147"/>
              <w:rPr>
                <w:rFonts w:ascii="宋体" w:hAnsi="宋体"/>
                <w:color w:val="000000"/>
              </w:rPr>
            </w:pPr>
            <w:r>
              <w:rPr>
                <w:rFonts w:hint="eastAsia"/>
              </w:rPr>
              <w:t>无罐区</w:t>
            </w:r>
          </w:p>
        </w:tc>
        <w:tc>
          <w:tcPr>
            <w:tcW w:w="2663" w:type="dxa"/>
            <w:tcBorders>
              <w:right w:val="single" w:color="auto" w:sz="4" w:space="0"/>
            </w:tcBorders>
            <w:vAlign w:val="center"/>
          </w:tcPr>
          <w:p>
            <w:pPr>
              <w:pStyle w:val="147"/>
              <w:rPr>
                <w:rFonts w:ascii="宋体" w:hAnsi="宋体"/>
              </w:rPr>
            </w:pPr>
            <w:r>
              <w:rPr>
                <w:rFonts w:hint="eastAsia"/>
              </w:rPr>
              <w:t>物料堆存于各自车间增加原辅料及产品小型贮罐若干。</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环境风险、无组织排放</w:t>
            </w:r>
          </w:p>
        </w:tc>
        <w:tc>
          <w:tcPr>
            <w:tcW w:w="2609" w:type="dxa"/>
            <w:vAlign w:val="center"/>
          </w:tcPr>
          <w:p>
            <w:pPr>
              <w:pStyle w:val="147"/>
              <w:rPr>
                <w:spacing w:val="4"/>
              </w:rPr>
            </w:pPr>
            <w:r>
              <w:rPr>
                <w:rFonts w:hint="eastAsia"/>
                <w:spacing w:val="4"/>
              </w:rPr>
              <w:t>科学管理、制定应急措施，划定卫生防护距离</w:t>
            </w:r>
          </w:p>
        </w:tc>
        <w:tc>
          <w:tcPr>
            <w:tcW w:w="491" w:type="dxa"/>
            <w:vAlign w:val="center"/>
          </w:tcPr>
          <w:p>
            <w:pPr>
              <w:pStyle w:val="147"/>
              <w:rPr>
                <w:spacing w:val="4"/>
              </w:rPr>
            </w:pPr>
            <w:r>
              <w:rPr>
                <w:rFonts w:hint="eastAsia"/>
                <w:spacing w:val="4"/>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Align w:val="center"/>
          </w:tcPr>
          <w:p>
            <w:pPr>
              <w:pStyle w:val="147"/>
            </w:pPr>
            <w:r>
              <w:rPr>
                <w:rFonts w:hint="eastAsia"/>
              </w:rPr>
              <w:t>危废库</w:t>
            </w:r>
          </w:p>
        </w:tc>
        <w:tc>
          <w:tcPr>
            <w:tcW w:w="2663" w:type="dxa"/>
            <w:tcBorders>
              <w:right w:val="single" w:color="auto" w:sz="4" w:space="0"/>
            </w:tcBorders>
            <w:vAlign w:val="center"/>
          </w:tcPr>
          <w:p>
            <w:pPr>
              <w:pStyle w:val="147"/>
            </w:pPr>
            <w:r>
              <w:rPr>
                <w:rFonts w:hint="eastAsia"/>
              </w:rPr>
              <w:t>依托厂区已建设的1</w:t>
            </w:r>
            <w:r>
              <w:t>00</w:t>
            </w:r>
            <w:r>
              <w:rPr>
                <w:rFonts w:hint="eastAsia"/>
              </w:rPr>
              <w:t>m</w:t>
            </w:r>
            <w:r>
              <w:rPr>
                <w:vertAlign w:val="superscript"/>
              </w:rPr>
              <w:t>2</w:t>
            </w:r>
            <w:r>
              <w:rPr>
                <w:rFonts w:hint="eastAsia"/>
              </w:rPr>
              <w:t>危废库</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w:t>
            </w:r>
          </w:p>
        </w:tc>
        <w:tc>
          <w:tcPr>
            <w:tcW w:w="2609" w:type="dxa"/>
            <w:vAlign w:val="center"/>
          </w:tcPr>
          <w:p>
            <w:pPr>
              <w:pStyle w:val="147"/>
              <w:rPr>
                <w:spacing w:val="4"/>
              </w:rPr>
            </w:pPr>
            <w:r>
              <w:rPr>
                <w:rFonts w:hint="eastAsia"/>
                <w:spacing w:val="4"/>
              </w:rPr>
              <w:t>/</w:t>
            </w:r>
          </w:p>
        </w:tc>
        <w:tc>
          <w:tcPr>
            <w:tcW w:w="491" w:type="dxa"/>
          </w:tcPr>
          <w:p>
            <w:pPr>
              <w:pStyle w:val="147"/>
              <w:rPr>
                <w:spacing w:val="4"/>
              </w:rPr>
            </w:pPr>
            <w:r>
              <w:rPr>
                <w:rFonts w:hint="eastAsia"/>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restart"/>
            <w:vAlign w:val="center"/>
          </w:tcPr>
          <w:p>
            <w:pPr>
              <w:pStyle w:val="147"/>
            </w:pPr>
            <w:r>
              <w:rPr>
                <w:rFonts w:hint="eastAsia"/>
              </w:rPr>
              <w:t>环保设施</w:t>
            </w:r>
          </w:p>
        </w:tc>
        <w:tc>
          <w:tcPr>
            <w:tcW w:w="765" w:type="dxa"/>
            <w:vAlign w:val="center"/>
          </w:tcPr>
          <w:p>
            <w:pPr>
              <w:pStyle w:val="147"/>
            </w:pPr>
            <w:r>
              <w:rPr>
                <w:rFonts w:hint="eastAsia"/>
              </w:rPr>
              <w:t>事故应急池</w:t>
            </w:r>
          </w:p>
        </w:tc>
        <w:tc>
          <w:tcPr>
            <w:tcW w:w="2663" w:type="dxa"/>
            <w:tcBorders>
              <w:right w:val="single" w:color="auto" w:sz="4" w:space="0"/>
            </w:tcBorders>
            <w:vAlign w:val="center"/>
          </w:tcPr>
          <w:p>
            <w:pPr>
              <w:pStyle w:val="147"/>
              <w:rPr>
                <w:szCs w:val="18"/>
              </w:rPr>
            </w:pPr>
            <w:r>
              <w:rPr>
                <w:rFonts w:hint="eastAsia"/>
                <w:szCs w:val="18"/>
              </w:rPr>
              <w:t>厂区公共事故池容积：</w:t>
            </w:r>
          </w:p>
          <w:p>
            <w:pPr>
              <w:pStyle w:val="147"/>
              <w:rPr>
                <w:rFonts w:ascii="宋体" w:hAnsi="宋体"/>
              </w:rPr>
            </w:pPr>
            <w:r>
              <w:rPr>
                <w:szCs w:val="18"/>
              </w:rPr>
              <w:t>2400 m</w:t>
            </w:r>
            <w:r>
              <w:rPr>
                <w:szCs w:val="18"/>
                <w:vertAlign w:val="superscript"/>
              </w:rPr>
              <w:t>3</w:t>
            </w:r>
            <w:r>
              <w:rPr>
                <w:rFonts w:hint="eastAsia"/>
                <w:szCs w:val="18"/>
              </w:rPr>
              <w:t>，</w:t>
            </w:r>
            <w:r>
              <w:rPr>
                <w:szCs w:val="18"/>
              </w:rPr>
              <w:t>800 m</w:t>
            </w:r>
            <w:r>
              <w:rPr>
                <w:szCs w:val="18"/>
                <w:vertAlign w:val="superscript"/>
              </w:rPr>
              <w:t>3</w:t>
            </w:r>
            <w:r>
              <w:rPr>
                <w:szCs w:val="18"/>
              </w:rPr>
              <w:t>×2</w:t>
            </w:r>
            <w:r>
              <w:rPr>
                <w:rFonts w:hint="eastAsia"/>
                <w:szCs w:val="18"/>
              </w:rPr>
              <w:t>。</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w:t>
            </w:r>
          </w:p>
        </w:tc>
        <w:tc>
          <w:tcPr>
            <w:tcW w:w="2609" w:type="dxa"/>
            <w:vAlign w:val="center"/>
          </w:tcPr>
          <w:p>
            <w:pPr>
              <w:pStyle w:val="147"/>
              <w:rPr>
                <w:spacing w:val="4"/>
              </w:rPr>
            </w:pPr>
            <w:r>
              <w:rPr>
                <w:rFonts w:hint="eastAsia"/>
                <w:spacing w:val="4"/>
              </w:rPr>
              <w:t>/</w:t>
            </w:r>
          </w:p>
        </w:tc>
        <w:tc>
          <w:tcPr>
            <w:tcW w:w="491" w:type="dxa"/>
          </w:tcPr>
          <w:p>
            <w:pPr>
              <w:pStyle w:val="147"/>
              <w:rPr>
                <w:spacing w:val="4"/>
              </w:rPr>
            </w:pPr>
            <w:r>
              <w:rPr>
                <w:rFonts w:hint="eastAsia"/>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Merge w:val="restart"/>
            <w:vAlign w:val="center"/>
          </w:tcPr>
          <w:p>
            <w:pPr>
              <w:pStyle w:val="147"/>
            </w:pPr>
            <w:r>
              <w:rPr>
                <w:rFonts w:hint="eastAsia"/>
              </w:rPr>
              <w:t>废水处理设施</w:t>
            </w:r>
          </w:p>
        </w:tc>
        <w:tc>
          <w:tcPr>
            <w:tcW w:w="2663" w:type="dxa"/>
            <w:tcBorders>
              <w:right w:val="single" w:color="auto" w:sz="4" w:space="0"/>
            </w:tcBorders>
            <w:vAlign w:val="center"/>
          </w:tcPr>
          <w:p>
            <w:pPr>
              <w:pStyle w:val="147"/>
              <w:rPr>
                <w:rFonts w:ascii="宋体" w:hAnsi="宋体"/>
              </w:rPr>
            </w:pPr>
            <w:r>
              <w:rPr>
                <w:rFonts w:hint="eastAsia"/>
                <w:szCs w:val="18"/>
              </w:rPr>
              <w:t>综合污水处理站1000</w:t>
            </w:r>
            <w:r>
              <w:rPr>
                <w:szCs w:val="18"/>
              </w:rPr>
              <w:t xml:space="preserve"> m</w:t>
            </w:r>
            <w:r>
              <w:rPr>
                <w:szCs w:val="18"/>
                <w:vertAlign w:val="superscript"/>
              </w:rPr>
              <w:t>3</w:t>
            </w:r>
            <w:r>
              <w:rPr>
                <w:szCs w:val="18"/>
              </w:rPr>
              <w:t>/d</w:t>
            </w:r>
            <w:r>
              <w:rPr>
                <w:rFonts w:hint="eastAsia"/>
                <w:szCs w:val="18"/>
              </w:rPr>
              <w:t>，工艺为均化→厌氧生物膜→HCR→沉淀→厌氧生物膜→活性污泥→混凝沉淀→芬顿氧化→砂滤池</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0"/>
            </w:pPr>
            <w:r>
              <w:rPr>
                <w:rFonts w:hint="eastAsia"/>
              </w:rPr>
              <w:t>废水、恶臭、污泥</w:t>
            </w:r>
          </w:p>
        </w:tc>
        <w:tc>
          <w:tcPr>
            <w:tcW w:w="2609" w:type="dxa"/>
            <w:vMerge w:val="restart"/>
            <w:vAlign w:val="center"/>
          </w:tcPr>
          <w:p>
            <w:pPr>
              <w:pStyle w:val="140"/>
            </w:pPr>
            <w:r>
              <w:rPr>
                <w:rFonts w:hint="eastAsia"/>
              </w:rPr>
              <w:t>废水：经处理后，达预处理标准后，排园区污水处理厂；</w:t>
            </w:r>
          </w:p>
          <w:p>
            <w:pPr>
              <w:pStyle w:val="140"/>
            </w:pPr>
            <w:r>
              <w:rPr>
                <w:rFonts w:hint="eastAsia"/>
              </w:rPr>
              <w:t>恶臭：通过科学管理和划定卫生防护距离控制。</w:t>
            </w:r>
          </w:p>
          <w:p>
            <w:pPr>
              <w:pStyle w:val="140"/>
            </w:pPr>
            <w:r>
              <w:rPr>
                <w:rFonts w:hint="eastAsia"/>
              </w:rPr>
              <w:t>污泥：外委有资质的单位处置；</w:t>
            </w:r>
          </w:p>
          <w:p>
            <w:pPr>
              <w:pStyle w:val="140"/>
            </w:pPr>
            <w:r>
              <w:rPr>
                <w:rFonts w:hint="eastAsia"/>
              </w:rPr>
              <w:t>氟化钙沉淀：外委综合利用。</w:t>
            </w:r>
          </w:p>
        </w:tc>
        <w:tc>
          <w:tcPr>
            <w:tcW w:w="491" w:type="dxa"/>
            <w:vAlign w:val="center"/>
          </w:tcPr>
          <w:p>
            <w:pPr>
              <w:pStyle w:val="140"/>
            </w:pPr>
            <w:r>
              <w:rPr>
                <w:rFonts w:hint="eastAsia"/>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Merge w:val="continue"/>
            <w:vAlign w:val="center"/>
          </w:tcPr>
          <w:p>
            <w:pPr>
              <w:pStyle w:val="147"/>
            </w:pPr>
          </w:p>
        </w:tc>
        <w:tc>
          <w:tcPr>
            <w:tcW w:w="2663" w:type="dxa"/>
            <w:tcBorders>
              <w:right w:val="single" w:color="auto" w:sz="4" w:space="0"/>
            </w:tcBorders>
            <w:vAlign w:val="center"/>
          </w:tcPr>
          <w:p>
            <w:pPr>
              <w:pStyle w:val="147"/>
              <w:rPr>
                <w:szCs w:val="18"/>
              </w:rPr>
            </w:pPr>
            <w:r>
              <w:rPr>
                <w:rFonts w:hint="eastAsia"/>
                <w:szCs w:val="18"/>
              </w:rPr>
              <w:t>含氟废水处200m3/d，工艺为中和、絮凝沉淀、初沉、斜管沉淀、二级沉清处理后</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废水、氟化钙</w:t>
            </w:r>
          </w:p>
        </w:tc>
        <w:tc>
          <w:tcPr>
            <w:tcW w:w="2609" w:type="dxa"/>
            <w:vMerge w:val="continue"/>
            <w:vAlign w:val="center"/>
          </w:tcPr>
          <w:p>
            <w:pPr>
              <w:pStyle w:val="147"/>
              <w:rPr>
                <w:spacing w:val="4"/>
              </w:rPr>
            </w:pPr>
          </w:p>
        </w:tc>
        <w:tc>
          <w:tcPr>
            <w:tcW w:w="491" w:type="dxa"/>
            <w:vAlign w:val="center"/>
          </w:tcPr>
          <w:p>
            <w:pPr>
              <w:pStyle w:val="147"/>
              <w:rPr>
                <w:spacing w:val="4"/>
              </w:rPr>
            </w:pPr>
            <w:r>
              <w:rPr>
                <w:rFonts w:hint="eastAsia"/>
                <w:spacing w:val="4"/>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45" w:type="dxa"/>
            <w:vMerge w:val="continue"/>
            <w:vAlign w:val="center"/>
          </w:tcPr>
          <w:p>
            <w:pPr>
              <w:pStyle w:val="147"/>
            </w:pPr>
          </w:p>
        </w:tc>
        <w:tc>
          <w:tcPr>
            <w:tcW w:w="765" w:type="dxa"/>
            <w:vAlign w:val="center"/>
          </w:tcPr>
          <w:p>
            <w:pPr>
              <w:pStyle w:val="147"/>
            </w:pPr>
            <w:r>
              <w:rPr>
                <w:rFonts w:hint="eastAsia"/>
              </w:rPr>
              <w:t>废气处理设施</w:t>
            </w:r>
          </w:p>
        </w:tc>
        <w:tc>
          <w:tcPr>
            <w:tcW w:w="2663" w:type="dxa"/>
            <w:tcBorders>
              <w:right w:val="single" w:color="auto" w:sz="4" w:space="0"/>
            </w:tcBorders>
            <w:vAlign w:val="center"/>
          </w:tcPr>
          <w:p>
            <w:pPr>
              <w:pStyle w:val="147"/>
            </w:pPr>
            <w:r>
              <w:rPr>
                <w:rFonts w:hint="eastAsia"/>
              </w:rPr>
              <w:t>氟橡胶车间和质检楼各设置1套活性炭处理装置，MOVE实验楼设1套二级水洗+碱洗+二级活性炭吸附装置。</w:t>
            </w:r>
          </w:p>
        </w:tc>
        <w:tc>
          <w:tcPr>
            <w:tcW w:w="866" w:type="dxa"/>
            <w:vMerge w:val="continue"/>
            <w:tcBorders>
              <w:left w:val="single" w:color="auto" w:sz="4" w:space="0"/>
              <w:right w:val="single" w:color="auto" w:sz="4" w:space="0"/>
            </w:tcBorders>
            <w:vAlign w:val="center"/>
          </w:tcPr>
          <w:p>
            <w:pPr>
              <w:pStyle w:val="147"/>
            </w:pPr>
          </w:p>
        </w:tc>
        <w:tc>
          <w:tcPr>
            <w:tcW w:w="869" w:type="dxa"/>
            <w:tcBorders>
              <w:left w:val="single" w:color="auto" w:sz="4" w:space="0"/>
            </w:tcBorders>
            <w:vAlign w:val="center"/>
          </w:tcPr>
          <w:p>
            <w:pPr>
              <w:pStyle w:val="147"/>
            </w:pPr>
            <w:r>
              <w:rPr>
                <w:rFonts w:hint="eastAsia"/>
              </w:rPr>
              <w:t>碱洗废水、脱附废水、废活性炭</w:t>
            </w:r>
          </w:p>
        </w:tc>
        <w:tc>
          <w:tcPr>
            <w:tcW w:w="2609" w:type="dxa"/>
            <w:vAlign w:val="center"/>
          </w:tcPr>
          <w:p>
            <w:pPr>
              <w:pStyle w:val="147"/>
              <w:rPr>
                <w:spacing w:val="4"/>
              </w:rPr>
            </w:pPr>
            <w:r>
              <w:rPr>
                <w:rFonts w:hint="eastAsia"/>
                <w:spacing w:val="4"/>
              </w:rPr>
              <w:t>废水：送含氟废水站处理；</w:t>
            </w:r>
          </w:p>
          <w:p>
            <w:pPr>
              <w:pStyle w:val="147"/>
              <w:rPr>
                <w:spacing w:val="4"/>
              </w:rPr>
            </w:pPr>
            <w:r>
              <w:rPr>
                <w:rFonts w:hint="eastAsia"/>
              </w:rPr>
              <w:t>废活性炭</w:t>
            </w:r>
            <w:r>
              <w:rPr>
                <w:rFonts w:hint="eastAsia"/>
                <w:spacing w:val="4"/>
              </w:rPr>
              <w:t>：外委有资质的危废处置单位处置。</w:t>
            </w:r>
          </w:p>
        </w:tc>
        <w:tc>
          <w:tcPr>
            <w:tcW w:w="491" w:type="dxa"/>
            <w:vAlign w:val="center"/>
          </w:tcPr>
          <w:p>
            <w:pPr>
              <w:pStyle w:val="147"/>
              <w:rPr>
                <w:spacing w:val="4"/>
              </w:rPr>
            </w:pPr>
            <w:r>
              <w:rPr>
                <w:rFonts w:hint="eastAsia"/>
                <w:spacing w:val="4"/>
              </w:rPr>
              <w:t>新建</w:t>
            </w:r>
          </w:p>
        </w:tc>
      </w:tr>
    </w:tbl>
    <w:p>
      <w:pPr>
        <w:pStyle w:val="80"/>
        <w:spacing w:line="440" w:lineRule="exact"/>
        <w:ind w:left="0" w:leftChars="0" w:firstLine="0" w:firstLineChars="0"/>
        <w:rPr>
          <w:rFonts w:ascii="Times New Roman" w:hAnsi="Times New Roman" w:eastAsia="宋体" w:cs="Times New Roman"/>
          <w:b/>
          <w:bCs/>
          <w:kern w:val="2"/>
          <w:sz w:val="28"/>
          <w:szCs w:val="32"/>
          <w:lang w:val="en-US" w:eastAsia="zh-CN" w:bidi="ar-SA"/>
        </w:rPr>
      </w:pPr>
      <w:r>
        <w:rPr>
          <w:rFonts w:ascii="Times New Roman" w:hAnsi="Times New Roman" w:eastAsia="宋体" w:cs="Times New Roman"/>
          <w:b/>
          <w:bCs/>
          <w:kern w:val="2"/>
          <w:sz w:val="28"/>
          <w:szCs w:val="32"/>
          <w:lang w:val="en-US" w:eastAsia="zh-CN" w:bidi="ar-SA"/>
        </w:rPr>
        <w:t>2.2.3项目劳动定员、生产制度</w:t>
      </w:r>
      <w:bookmarkEnd w:id="33"/>
      <w:bookmarkEnd w:id="34"/>
    </w:p>
    <w:p>
      <w:pPr>
        <w:spacing w:line="440" w:lineRule="exact"/>
        <w:ind w:firstLine="480" w:firstLineChars="200"/>
        <w:rPr>
          <w:rFonts w:hint="eastAsia"/>
          <w:sz w:val="24"/>
        </w:rPr>
      </w:pPr>
      <w:r>
        <w:rPr>
          <w:rFonts w:hint="eastAsia"/>
          <w:sz w:val="24"/>
        </w:rPr>
        <w:t>项目定员利用晨光院现有人员调配，无新增人员。</w:t>
      </w:r>
    </w:p>
    <w:p>
      <w:pPr>
        <w:pStyle w:val="80"/>
        <w:spacing w:line="440" w:lineRule="exact"/>
        <w:ind w:left="0" w:leftChars="0" w:firstLine="0" w:firstLineChars="0"/>
        <w:rPr>
          <w:rFonts w:ascii="Times New Roman" w:hAnsi="Times New Roman" w:eastAsia="宋体" w:cs="Times New Roman"/>
          <w:b/>
          <w:bCs/>
          <w:kern w:val="2"/>
          <w:sz w:val="28"/>
          <w:szCs w:val="32"/>
          <w:lang w:val="en-US" w:eastAsia="zh-CN" w:bidi="ar-SA"/>
        </w:rPr>
      </w:pPr>
      <w:bookmarkStart w:id="37" w:name="_Toc50707400"/>
      <w:r>
        <w:rPr>
          <w:rFonts w:ascii="Times New Roman" w:hAnsi="Times New Roman" w:eastAsia="宋体" w:cs="Times New Roman"/>
          <w:b/>
          <w:bCs/>
          <w:kern w:val="2"/>
          <w:sz w:val="28"/>
          <w:szCs w:val="32"/>
          <w:lang w:val="en-US" w:eastAsia="zh-CN" w:bidi="ar-SA"/>
        </w:rPr>
        <w:t>2.3</w:t>
      </w:r>
      <w:r>
        <w:rPr>
          <w:rFonts w:hint="eastAsia" w:ascii="Times New Roman" w:hAnsi="Times New Roman" w:eastAsia="宋体" w:cs="Times New Roman"/>
          <w:b/>
          <w:bCs/>
          <w:kern w:val="2"/>
          <w:sz w:val="28"/>
          <w:szCs w:val="32"/>
          <w:lang w:val="en-US" w:eastAsia="zh-CN" w:bidi="ar-SA"/>
        </w:rPr>
        <w:t>工程投资与环境保护投资</w:t>
      </w:r>
      <w:bookmarkEnd w:id="37"/>
    </w:p>
    <w:p>
      <w:pPr>
        <w:pStyle w:val="80"/>
        <w:spacing w:line="440" w:lineRule="exact"/>
        <w:ind w:left="0" w:leftChars="0" w:firstLine="480" w:firstLineChars="200"/>
        <w:rPr>
          <w:rFonts w:hint="eastAsia" w:ascii="Times New Roman" w:hAnsi="Times New Roman" w:eastAsia="宋体" w:cs="Times New Roman"/>
          <w:b w:val="0"/>
          <w:bCs w:val="0"/>
          <w:kern w:val="2"/>
          <w:sz w:val="28"/>
          <w:szCs w:val="32"/>
          <w:lang w:val="en-US" w:eastAsia="zh-CN" w:bidi="ar-SA"/>
        </w:rPr>
      </w:pPr>
      <w:bookmarkStart w:id="38" w:name="_Hlk36294094"/>
      <w:r>
        <w:rPr>
          <w:rFonts w:hint="eastAsia" w:ascii="Times New Roman" w:hAnsi="Times New Roman" w:eastAsia="宋体" w:cs="Times New Roman"/>
          <w:kern w:val="2"/>
          <w:sz w:val="24"/>
          <w:szCs w:val="24"/>
          <w:lang w:val="en-US" w:eastAsia="zh-CN" w:bidi="ar-SA"/>
        </w:rPr>
        <w:t>本项目总投资</w:t>
      </w:r>
      <w:bookmarkEnd w:id="38"/>
      <w:r>
        <w:rPr>
          <w:rFonts w:hint="eastAsia" w:ascii="Times New Roman" w:hAnsi="Times New Roman" w:eastAsia="宋体" w:cs="Times New Roman"/>
          <w:kern w:val="2"/>
          <w:sz w:val="24"/>
          <w:szCs w:val="24"/>
          <w:lang w:val="en-US" w:eastAsia="zh-CN" w:bidi="ar-SA"/>
        </w:rPr>
        <w:t>为</w:t>
      </w:r>
      <w:r>
        <w:rPr>
          <w:rFonts w:hint="eastAsia"/>
        </w:rPr>
        <w:t>8609</w:t>
      </w:r>
      <w:r>
        <w:rPr>
          <w:rFonts w:hint="eastAsia" w:ascii="Times New Roman" w:hAnsi="Times New Roman" w:eastAsia="宋体" w:cs="Times New Roman"/>
          <w:kern w:val="2"/>
          <w:sz w:val="24"/>
          <w:szCs w:val="24"/>
          <w:lang w:val="en-US" w:eastAsia="zh-CN" w:bidi="ar-SA"/>
        </w:rPr>
        <w:t>万元，具体环保设施（措施）见下表：</w:t>
      </w:r>
    </w:p>
    <w:p>
      <w:pPr>
        <w:spacing w:line="360" w:lineRule="auto"/>
        <w:ind w:firstLine="480" w:firstLineChars="200"/>
        <w:jc w:val="center"/>
        <w:rPr>
          <w:bCs/>
          <w:sz w:val="24"/>
        </w:rPr>
      </w:pPr>
      <w:r>
        <w:rPr>
          <w:bCs/>
          <w:sz w:val="24"/>
        </w:rPr>
        <w:t>表2.3-1  环保设施（措施）及投资一览表</w:t>
      </w:r>
    </w:p>
    <w:tbl>
      <w:tblPr>
        <w:tblStyle w:val="43"/>
        <w:tblW w:w="9073" w:type="dxa"/>
        <w:tblInd w:w="-176"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65"/>
        <w:gridCol w:w="451"/>
        <w:gridCol w:w="1678"/>
        <w:gridCol w:w="5387"/>
        <w:gridCol w:w="992"/>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blHeader/>
        </w:trPr>
        <w:tc>
          <w:tcPr>
            <w:tcW w:w="565" w:type="dxa"/>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时</w:t>
            </w:r>
          </w:p>
          <w:p>
            <w:pPr>
              <w:spacing w:line="240" w:lineRule="exact"/>
              <w:contextualSpacing/>
              <w:jc w:val="center"/>
              <w:rPr>
                <w:sz w:val="18"/>
                <w:szCs w:val="18"/>
              </w:rPr>
            </w:pPr>
            <w:r>
              <w:rPr>
                <w:sz w:val="18"/>
                <w:szCs w:val="18"/>
              </w:rPr>
              <w:t>段</w:t>
            </w:r>
          </w:p>
        </w:tc>
        <w:tc>
          <w:tcPr>
            <w:tcW w:w="212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类  别</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治  理  措  施</w:t>
            </w:r>
          </w:p>
        </w:tc>
        <w:tc>
          <w:tcPr>
            <w:tcW w:w="992" w:type="dxa"/>
            <w:tcBorders>
              <w:top w:val="single" w:color="auto" w:sz="4" w:space="0"/>
              <w:left w:val="single" w:color="auto" w:sz="4" w:space="0"/>
              <w:bottom w:val="single" w:color="auto" w:sz="4" w:space="0"/>
              <w:right w:val="nil"/>
            </w:tcBorders>
            <w:noWrap w:val="0"/>
            <w:vAlign w:val="center"/>
          </w:tcPr>
          <w:p>
            <w:pPr>
              <w:spacing w:line="240" w:lineRule="exact"/>
              <w:contextualSpacing/>
              <w:jc w:val="center"/>
              <w:rPr>
                <w:sz w:val="18"/>
                <w:szCs w:val="18"/>
              </w:rPr>
            </w:pPr>
            <w:r>
              <w:rPr>
                <w:sz w:val="18"/>
                <w:szCs w:val="18"/>
              </w:rPr>
              <w:t>投资估算（万元）</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565" w:type="dxa"/>
            <w:vMerge w:val="restart"/>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营</w:t>
            </w:r>
          </w:p>
          <w:p>
            <w:pPr>
              <w:spacing w:line="240" w:lineRule="exact"/>
              <w:contextualSpacing/>
              <w:jc w:val="center"/>
              <w:rPr>
                <w:sz w:val="18"/>
                <w:szCs w:val="18"/>
              </w:rPr>
            </w:pPr>
            <w:r>
              <w:rPr>
                <w:sz w:val="18"/>
                <w:szCs w:val="18"/>
              </w:rPr>
              <w:t>运</w:t>
            </w:r>
          </w:p>
          <w:p>
            <w:pPr>
              <w:spacing w:line="240" w:lineRule="exact"/>
              <w:contextualSpacing/>
              <w:jc w:val="center"/>
              <w:rPr>
                <w:sz w:val="18"/>
                <w:szCs w:val="18"/>
              </w:rPr>
            </w:pPr>
            <w:r>
              <w:rPr>
                <w:sz w:val="18"/>
                <w:szCs w:val="18"/>
              </w:rPr>
              <w:t>期</w:t>
            </w:r>
          </w:p>
        </w:tc>
        <w:tc>
          <w:tcPr>
            <w:tcW w:w="45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废</w:t>
            </w:r>
          </w:p>
          <w:p>
            <w:pPr>
              <w:spacing w:line="240" w:lineRule="exact"/>
              <w:contextualSpacing/>
              <w:jc w:val="center"/>
              <w:rPr>
                <w:sz w:val="18"/>
                <w:szCs w:val="18"/>
              </w:rPr>
            </w:pPr>
            <w:r>
              <w:rPr>
                <w:sz w:val="18"/>
                <w:szCs w:val="18"/>
              </w:rPr>
              <w:t>气</w:t>
            </w:r>
          </w:p>
        </w:tc>
        <w:tc>
          <w:tcPr>
            <w:tcW w:w="167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工艺废气</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both"/>
              <w:rPr>
                <w:rFonts w:ascii="Times New Roman" w:hAnsi="Times New Roman" w:cs="Times New Roman"/>
                <w:sz w:val="18"/>
                <w:szCs w:val="18"/>
              </w:rPr>
            </w:pPr>
            <w:r>
              <w:rPr>
                <w:rFonts w:hint="eastAsia"/>
                <w:sz w:val="18"/>
                <w:szCs w:val="18"/>
              </w:rPr>
              <w:t>①</w:t>
            </w:r>
            <w:r>
              <w:rPr>
                <w:rFonts w:ascii="Times New Roman" w:hAnsi="Times New Roman" w:cs="Times New Roman"/>
                <w:sz w:val="18"/>
                <w:szCs w:val="18"/>
              </w:rPr>
              <w:t xml:space="preserve"> 氟橡胶实验主要有少量置换气（G</w:t>
            </w:r>
            <w:r>
              <w:rPr>
                <w:rFonts w:ascii="Times New Roman" w:hAnsi="Times New Roman" w:cs="Times New Roman"/>
                <w:sz w:val="18"/>
                <w:szCs w:val="18"/>
                <w:vertAlign w:val="subscript"/>
              </w:rPr>
              <w:t>1-1</w:t>
            </w:r>
            <w:r>
              <w:rPr>
                <w:rFonts w:ascii="Times New Roman" w:hAnsi="Times New Roman" w:cs="Times New Roman"/>
                <w:sz w:val="18"/>
                <w:szCs w:val="18"/>
              </w:rPr>
              <w:t>、G</w:t>
            </w:r>
            <w:r>
              <w:rPr>
                <w:rFonts w:ascii="Times New Roman" w:hAnsi="Times New Roman" w:cs="Times New Roman"/>
                <w:sz w:val="18"/>
                <w:szCs w:val="18"/>
                <w:vertAlign w:val="subscript"/>
              </w:rPr>
              <w:t>1-2</w:t>
            </w:r>
            <w:r>
              <w:rPr>
                <w:rFonts w:ascii="Times New Roman" w:hAnsi="Times New Roman" w:cs="Times New Roman"/>
                <w:sz w:val="18"/>
                <w:szCs w:val="18"/>
              </w:rPr>
              <w:t>）产生，成分以吹扫的氮气为主，此外含少量残留的有机氟单体，经1套活性炭装置进行处理，后经1根15m排气筒达标排放。</w:t>
            </w:r>
          </w:p>
          <w:p>
            <w:pPr>
              <w:pStyle w:val="38"/>
              <w:spacing w:before="0" w:beforeAutospacing="0" w:after="0" w:afterAutospacing="0" w:line="240" w:lineRule="exact"/>
              <w:contextualSpacing/>
              <w:jc w:val="both"/>
              <w:rPr>
                <w:rFonts w:ascii="Times New Roman" w:hAnsi="Times New Roman" w:cs="Times New Roman"/>
                <w:sz w:val="18"/>
                <w:szCs w:val="18"/>
              </w:rPr>
            </w:pPr>
            <w:r>
              <w:rPr>
                <w:rFonts w:hint="eastAsia"/>
                <w:sz w:val="18"/>
                <w:szCs w:val="18"/>
              </w:rPr>
              <w:t>②</w:t>
            </w:r>
            <w:r>
              <w:rPr>
                <w:rFonts w:ascii="Times New Roman" w:hAnsi="Times New Roman" w:cs="Times New Roman"/>
                <w:sz w:val="18"/>
                <w:szCs w:val="18"/>
              </w:rPr>
              <w:t xml:space="preserve"> 项目MOVE试验楼废气包含两部分，分别为POPVE车间废气和MOVE车间废气。其中POPVE车间废气为各类不凝气（G</w:t>
            </w:r>
            <w:r>
              <w:rPr>
                <w:rFonts w:ascii="Times New Roman" w:hAnsi="Times New Roman" w:cs="Times New Roman"/>
                <w:sz w:val="18"/>
                <w:szCs w:val="18"/>
                <w:vertAlign w:val="subscript"/>
              </w:rPr>
              <w:t>2-1</w:t>
            </w:r>
            <w:r>
              <w:rPr>
                <w:rFonts w:ascii="Times New Roman" w:hAnsi="Times New Roman" w:cs="Times New Roman"/>
                <w:sz w:val="18"/>
                <w:szCs w:val="18"/>
              </w:rPr>
              <w:t>、G</w:t>
            </w:r>
            <w:r>
              <w:rPr>
                <w:rFonts w:ascii="Times New Roman" w:hAnsi="Times New Roman" w:cs="Times New Roman"/>
                <w:sz w:val="18"/>
                <w:szCs w:val="18"/>
                <w:vertAlign w:val="subscript"/>
              </w:rPr>
              <w:t>2-2</w:t>
            </w:r>
            <w:r>
              <w:rPr>
                <w:rFonts w:ascii="Times New Roman" w:hAnsi="Times New Roman" w:cs="Times New Roman"/>
                <w:sz w:val="18"/>
                <w:szCs w:val="18"/>
              </w:rPr>
              <w:t>、G</w:t>
            </w:r>
            <w:r>
              <w:rPr>
                <w:rFonts w:ascii="Times New Roman" w:hAnsi="Times New Roman" w:cs="Times New Roman"/>
                <w:sz w:val="18"/>
                <w:szCs w:val="18"/>
                <w:vertAlign w:val="subscript"/>
              </w:rPr>
              <w:t>2-3</w:t>
            </w:r>
            <w:r>
              <w:rPr>
                <w:rFonts w:ascii="Times New Roman" w:hAnsi="Times New Roman" w:cs="Times New Roman"/>
                <w:sz w:val="18"/>
                <w:szCs w:val="18"/>
              </w:rPr>
              <w:t>、G</w:t>
            </w:r>
            <w:r>
              <w:rPr>
                <w:rFonts w:ascii="Times New Roman" w:hAnsi="Times New Roman" w:cs="Times New Roman"/>
                <w:sz w:val="18"/>
                <w:szCs w:val="18"/>
                <w:vertAlign w:val="subscript"/>
              </w:rPr>
              <w:t>2-4、</w:t>
            </w:r>
            <w:r>
              <w:rPr>
                <w:rFonts w:ascii="Times New Roman" w:hAnsi="Times New Roman" w:cs="Times New Roman"/>
                <w:sz w:val="18"/>
                <w:szCs w:val="18"/>
              </w:rPr>
              <w:t>G</w:t>
            </w:r>
            <w:r>
              <w:rPr>
                <w:rFonts w:ascii="Times New Roman" w:hAnsi="Times New Roman" w:cs="Times New Roman"/>
                <w:sz w:val="18"/>
                <w:szCs w:val="18"/>
                <w:vertAlign w:val="subscript"/>
              </w:rPr>
              <w:t>2-7</w:t>
            </w:r>
            <w:r>
              <w:rPr>
                <w:rFonts w:ascii="Times New Roman" w:hAnsi="Times New Roman" w:cs="Times New Roman"/>
                <w:sz w:val="18"/>
                <w:szCs w:val="18"/>
              </w:rPr>
              <w:t>、G</w:t>
            </w:r>
            <w:r>
              <w:rPr>
                <w:rFonts w:ascii="Times New Roman" w:hAnsi="Times New Roman" w:cs="Times New Roman"/>
                <w:sz w:val="18"/>
                <w:szCs w:val="18"/>
                <w:vertAlign w:val="subscript"/>
              </w:rPr>
              <w:t>2-8</w:t>
            </w:r>
            <w:r>
              <w:rPr>
                <w:rFonts w:ascii="Times New Roman" w:hAnsi="Times New Roman" w:cs="Times New Roman"/>
                <w:sz w:val="18"/>
                <w:szCs w:val="18"/>
              </w:rPr>
              <w:t>）、旋转蒸发废气（G</w:t>
            </w:r>
            <w:r>
              <w:rPr>
                <w:rFonts w:ascii="Times New Roman" w:hAnsi="Times New Roman" w:cs="Times New Roman"/>
                <w:sz w:val="18"/>
                <w:szCs w:val="18"/>
                <w:vertAlign w:val="subscript"/>
              </w:rPr>
              <w:t>2-6</w:t>
            </w:r>
            <w:r>
              <w:rPr>
                <w:rFonts w:ascii="Times New Roman" w:hAnsi="Times New Roman" w:cs="Times New Roman"/>
                <w:sz w:val="18"/>
                <w:szCs w:val="18"/>
              </w:rPr>
              <w:t>）和破碎粉尘（G</w:t>
            </w:r>
            <w:r>
              <w:rPr>
                <w:rFonts w:ascii="Times New Roman" w:hAnsi="Times New Roman" w:cs="Times New Roman"/>
                <w:sz w:val="18"/>
                <w:szCs w:val="18"/>
                <w:vertAlign w:val="subscript"/>
              </w:rPr>
              <w:t>2-5</w:t>
            </w:r>
            <w:r>
              <w:rPr>
                <w:rFonts w:ascii="Times New Roman" w:hAnsi="Times New Roman" w:cs="Times New Roman"/>
                <w:sz w:val="18"/>
                <w:szCs w:val="18"/>
              </w:rPr>
              <w:t>）；MOVE车间废气主要为各类电解废气（G</w:t>
            </w:r>
            <w:r>
              <w:rPr>
                <w:rFonts w:ascii="Times New Roman" w:hAnsi="Times New Roman" w:cs="Times New Roman"/>
                <w:sz w:val="18"/>
                <w:szCs w:val="18"/>
                <w:vertAlign w:val="subscript"/>
              </w:rPr>
              <w:t>3-1</w:t>
            </w:r>
            <w:r>
              <w:rPr>
                <w:rFonts w:ascii="Times New Roman" w:hAnsi="Times New Roman" w:cs="Times New Roman"/>
                <w:sz w:val="18"/>
                <w:szCs w:val="18"/>
              </w:rPr>
              <w:t>、G</w:t>
            </w:r>
            <w:r>
              <w:rPr>
                <w:rFonts w:ascii="Times New Roman" w:hAnsi="Times New Roman" w:cs="Times New Roman"/>
                <w:sz w:val="18"/>
                <w:szCs w:val="18"/>
                <w:vertAlign w:val="subscript"/>
              </w:rPr>
              <w:t>3-2</w:t>
            </w:r>
            <w:r>
              <w:rPr>
                <w:rFonts w:ascii="Times New Roman" w:hAnsi="Times New Roman" w:cs="Times New Roman"/>
                <w:sz w:val="18"/>
                <w:szCs w:val="18"/>
              </w:rPr>
              <w:t>、G</w:t>
            </w:r>
            <w:r>
              <w:rPr>
                <w:rFonts w:ascii="Times New Roman" w:hAnsi="Times New Roman" w:cs="Times New Roman"/>
                <w:sz w:val="18"/>
                <w:szCs w:val="18"/>
                <w:vertAlign w:val="subscript"/>
              </w:rPr>
              <w:t>3-3</w:t>
            </w:r>
            <w:r>
              <w:rPr>
                <w:rFonts w:ascii="Times New Roman" w:hAnsi="Times New Roman" w:cs="Times New Roman"/>
                <w:sz w:val="18"/>
                <w:szCs w:val="18"/>
              </w:rPr>
              <w:t>、G</w:t>
            </w:r>
            <w:r>
              <w:rPr>
                <w:rFonts w:ascii="Times New Roman" w:hAnsi="Times New Roman" w:cs="Times New Roman"/>
                <w:sz w:val="18"/>
                <w:szCs w:val="18"/>
                <w:vertAlign w:val="subscript"/>
              </w:rPr>
              <w:t>3-4</w:t>
            </w:r>
            <w:r>
              <w:rPr>
                <w:rFonts w:ascii="Times New Roman" w:hAnsi="Times New Roman" w:cs="Times New Roman"/>
                <w:sz w:val="18"/>
                <w:szCs w:val="18"/>
              </w:rPr>
              <w:t>、G</w:t>
            </w:r>
            <w:r>
              <w:rPr>
                <w:rFonts w:ascii="Times New Roman" w:hAnsi="Times New Roman" w:cs="Times New Roman"/>
                <w:sz w:val="18"/>
                <w:szCs w:val="18"/>
                <w:vertAlign w:val="subscript"/>
              </w:rPr>
              <w:t>3-6</w:t>
            </w:r>
            <w:r>
              <w:rPr>
                <w:rFonts w:ascii="Times New Roman" w:hAnsi="Times New Roman" w:cs="Times New Roman"/>
                <w:sz w:val="18"/>
                <w:szCs w:val="18"/>
              </w:rPr>
              <w:t>、G</w:t>
            </w:r>
            <w:r>
              <w:rPr>
                <w:rFonts w:ascii="Times New Roman" w:hAnsi="Times New Roman" w:cs="Times New Roman"/>
                <w:sz w:val="18"/>
                <w:szCs w:val="18"/>
                <w:vertAlign w:val="subscript"/>
              </w:rPr>
              <w:t>3-7</w:t>
            </w:r>
            <w:r>
              <w:rPr>
                <w:rFonts w:ascii="Times New Roman" w:hAnsi="Times New Roman" w:cs="Times New Roman"/>
                <w:sz w:val="18"/>
                <w:szCs w:val="18"/>
              </w:rPr>
              <w:t>、）、收集罐废气（G</w:t>
            </w:r>
            <w:r>
              <w:rPr>
                <w:rFonts w:ascii="Times New Roman" w:hAnsi="Times New Roman" w:cs="Times New Roman"/>
                <w:sz w:val="18"/>
                <w:szCs w:val="18"/>
                <w:vertAlign w:val="subscript"/>
              </w:rPr>
              <w:t>3-5</w:t>
            </w:r>
            <w:r>
              <w:rPr>
                <w:rFonts w:ascii="Times New Roman" w:hAnsi="Times New Roman" w:cs="Times New Roman"/>
                <w:sz w:val="18"/>
                <w:szCs w:val="18"/>
              </w:rPr>
              <w:t>）、反应废气（G</w:t>
            </w:r>
            <w:r>
              <w:rPr>
                <w:rFonts w:ascii="Times New Roman" w:hAnsi="Times New Roman" w:cs="Times New Roman"/>
                <w:sz w:val="18"/>
                <w:szCs w:val="18"/>
                <w:vertAlign w:val="subscript"/>
              </w:rPr>
              <w:t>3-8</w:t>
            </w:r>
            <w:r>
              <w:rPr>
                <w:rFonts w:ascii="Times New Roman" w:hAnsi="Times New Roman" w:cs="Times New Roman"/>
                <w:sz w:val="18"/>
                <w:szCs w:val="18"/>
              </w:rPr>
              <w:t>、G</w:t>
            </w:r>
            <w:r>
              <w:rPr>
                <w:rFonts w:ascii="Times New Roman" w:hAnsi="Times New Roman" w:cs="Times New Roman"/>
                <w:sz w:val="18"/>
                <w:szCs w:val="18"/>
                <w:vertAlign w:val="subscript"/>
              </w:rPr>
              <w:t>3-9</w:t>
            </w:r>
            <w:r>
              <w:rPr>
                <w:rFonts w:ascii="Times New Roman" w:hAnsi="Times New Roman" w:cs="Times New Roman"/>
                <w:sz w:val="18"/>
                <w:szCs w:val="18"/>
              </w:rPr>
              <w:t>）、吹扫废气（G</w:t>
            </w:r>
            <w:r>
              <w:rPr>
                <w:rFonts w:ascii="Times New Roman" w:hAnsi="Times New Roman" w:cs="Times New Roman"/>
                <w:sz w:val="18"/>
                <w:szCs w:val="18"/>
                <w:vertAlign w:val="subscript"/>
              </w:rPr>
              <w:t>3-10</w:t>
            </w:r>
            <w:r>
              <w:rPr>
                <w:rFonts w:ascii="Times New Roman" w:hAnsi="Times New Roman" w:cs="Times New Roman"/>
                <w:sz w:val="18"/>
                <w:szCs w:val="18"/>
              </w:rPr>
              <w:t>、）、各类不凝气（G</w:t>
            </w:r>
            <w:r>
              <w:rPr>
                <w:rFonts w:ascii="Times New Roman" w:hAnsi="Times New Roman" w:cs="Times New Roman"/>
                <w:sz w:val="18"/>
                <w:szCs w:val="18"/>
                <w:vertAlign w:val="subscript"/>
              </w:rPr>
              <w:t>3-11</w:t>
            </w:r>
            <w:r>
              <w:rPr>
                <w:rFonts w:ascii="Times New Roman" w:hAnsi="Times New Roman" w:cs="Times New Roman"/>
                <w:sz w:val="18"/>
                <w:szCs w:val="18"/>
              </w:rPr>
              <w:t>~G</w:t>
            </w:r>
            <w:r>
              <w:rPr>
                <w:rFonts w:ascii="Times New Roman" w:hAnsi="Times New Roman" w:cs="Times New Roman"/>
                <w:sz w:val="18"/>
                <w:szCs w:val="18"/>
                <w:vertAlign w:val="subscript"/>
              </w:rPr>
              <w:t>3-21</w:t>
            </w:r>
            <w:r>
              <w:rPr>
                <w:rFonts w:ascii="Times New Roman" w:hAnsi="Times New Roman" w:cs="Times New Roman"/>
                <w:sz w:val="18"/>
                <w:szCs w:val="18"/>
              </w:rPr>
              <w:t>、G</w:t>
            </w:r>
            <w:r>
              <w:rPr>
                <w:rFonts w:ascii="Times New Roman" w:hAnsi="Times New Roman" w:cs="Times New Roman"/>
                <w:sz w:val="18"/>
                <w:szCs w:val="18"/>
                <w:vertAlign w:val="subscript"/>
              </w:rPr>
              <w:t>3-23</w:t>
            </w:r>
            <w:r>
              <w:rPr>
                <w:rFonts w:ascii="Times New Roman" w:hAnsi="Times New Roman" w:cs="Times New Roman"/>
                <w:sz w:val="18"/>
                <w:szCs w:val="18"/>
              </w:rPr>
              <w:t>）和抽滤废气（G</w:t>
            </w:r>
            <w:r>
              <w:rPr>
                <w:rFonts w:ascii="Times New Roman" w:hAnsi="Times New Roman" w:cs="Times New Roman"/>
                <w:sz w:val="18"/>
                <w:szCs w:val="18"/>
                <w:vertAlign w:val="subscript"/>
              </w:rPr>
              <w:t>3-22</w:t>
            </w:r>
            <w:r>
              <w:rPr>
                <w:rFonts w:ascii="Times New Roman" w:hAnsi="Times New Roman" w:cs="Times New Roman"/>
                <w:sz w:val="18"/>
                <w:szCs w:val="18"/>
              </w:rPr>
              <w:t>），以上废气主要成分为氟化物和VOCs。以上废气统一经1套二级水洗+碱洗+二级活性炭装置处理，后经1根25m排气筒达标排放。其中破碎粉尘（G</w:t>
            </w:r>
            <w:r>
              <w:rPr>
                <w:rFonts w:ascii="Times New Roman" w:hAnsi="Times New Roman" w:cs="Times New Roman"/>
                <w:sz w:val="18"/>
                <w:szCs w:val="18"/>
                <w:vertAlign w:val="subscript"/>
              </w:rPr>
              <w:t>2-5</w:t>
            </w:r>
            <w:r>
              <w:rPr>
                <w:rFonts w:ascii="Times New Roman" w:hAnsi="Times New Roman" w:cs="Times New Roman"/>
                <w:sz w:val="18"/>
                <w:szCs w:val="18"/>
              </w:rPr>
              <w:t>）经设备自带布袋除尘器处理后再经级水洗+碱洗+二级活性炭处理。</w:t>
            </w:r>
          </w:p>
          <w:p>
            <w:pPr>
              <w:pStyle w:val="38"/>
              <w:spacing w:before="0" w:beforeAutospacing="0" w:after="0" w:afterAutospacing="0" w:line="240" w:lineRule="exact"/>
              <w:contextualSpacing/>
              <w:jc w:val="both"/>
              <w:rPr>
                <w:rFonts w:ascii="Times New Roman" w:hAnsi="Times New Roman" w:cs="Times New Roman"/>
                <w:sz w:val="18"/>
                <w:szCs w:val="18"/>
              </w:rPr>
            </w:pPr>
            <w:r>
              <w:rPr>
                <w:rFonts w:hint="eastAsia"/>
                <w:sz w:val="18"/>
                <w:szCs w:val="18"/>
              </w:rPr>
              <w:t>③</w:t>
            </w:r>
            <w:r>
              <w:rPr>
                <w:rFonts w:ascii="Times New Roman" w:hAnsi="Times New Roman" w:cs="Times New Roman"/>
                <w:sz w:val="18"/>
                <w:szCs w:val="18"/>
              </w:rPr>
              <w:t xml:space="preserve"> 项目质检楼废气主要为有机溶剂试剂使用时产生的部分挥发出的有机废气，经1套活性炭吸附装置对废气进行处理，后经1根15m排气筒达标排放。</w:t>
            </w:r>
          </w:p>
        </w:tc>
        <w:tc>
          <w:tcPr>
            <w:tcW w:w="992" w:type="dxa"/>
            <w:vMerge w:val="restart"/>
            <w:tcBorders>
              <w:top w:val="single" w:color="auto" w:sz="4" w:space="0"/>
              <w:left w:val="single" w:color="auto" w:sz="4" w:space="0"/>
              <w:bottom w:val="single" w:color="auto" w:sz="4" w:space="0"/>
              <w:right w:val="nil"/>
            </w:tcBorders>
            <w:noWrap w:val="0"/>
            <w:vAlign w:val="center"/>
          </w:tcPr>
          <w:p>
            <w:pPr>
              <w:spacing w:line="240" w:lineRule="exact"/>
              <w:contextualSpacing/>
              <w:jc w:val="center"/>
              <w:rPr>
                <w:sz w:val="18"/>
                <w:szCs w:val="18"/>
              </w:rPr>
            </w:pPr>
            <w:r>
              <w:rPr>
                <w:sz w:val="18"/>
                <w:szCs w:val="18"/>
              </w:rPr>
              <w:t>100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65" w:type="dxa"/>
            <w:vMerge w:val="continue"/>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p>
        </w:tc>
        <w:tc>
          <w:tcPr>
            <w:tcW w:w="45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center"/>
              <w:rPr>
                <w:rFonts w:ascii="Times New Roman" w:hAnsi="Times New Roman" w:cs="Times New Roman"/>
                <w:sz w:val="18"/>
                <w:szCs w:val="18"/>
              </w:rPr>
            </w:pPr>
            <w:r>
              <w:rPr>
                <w:rFonts w:ascii="Times New Roman" w:hAnsi="Times New Roman" w:cs="Times New Roman"/>
                <w:sz w:val="18"/>
                <w:szCs w:val="18"/>
              </w:rPr>
              <w:t>无组织排放</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kern w:val="0"/>
                <w:sz w:val="18"/>
                <w:szCs w:val="18"/>
              </w:rPr>
            </w:pPr>
            <w:r>
              <w:rPr>
                <w:kern w:val="0"/>
                <w:sz w:val="18"/>
                <w:szCs w:val="18"/>
              </w:rPr>
              <w:t>本项目无组织排放废气主要来自项目氟橡胶生产和MOVE实验楼，无组织排放污染物主要为氟化物、VOCs等气体。</w:t>
            </w:r>
          </w:p>
          <w:p>
            <w:pPr>
              <w:spacing w:line="240" w:lineRule="exact"/>
              <w:rPr>
                <w:kern w:val="0"/>
                <w:sz w:val="18"/>
                <w:szCs w:val="18"/>
              </w:rPr>
            </w:pPr>
            <w:r>
              <w:rPr>
                <w:kern w:val="0"/>
                <w:sz w:val="18"/>
                <w:szCs w:val="18"/>
              </w:rPr>
              <w:t>项目采取了以下措施减少废气的无组织排放量：</w:t>
            </w:r>
          </w:p>
          <w:p>
            <w:pPr>
              <w:spacing w:line="240" w:lineRule="exact"/>
              <w:rPr>
                <w:kern w:val="0"/>
                <w:sz w:val="18"/>
                <w:szCs w:val="18"/>
              </w:rPr>
            </w:pPr>
            <w:r>
              <w:rPr>
                <w:kern w:val="0"/>
                <w:sz w:val="18"/>
                <w:szCs w:val="18"/>
              </w:rPr>
              <w:t>1）优化加料方式，杜绝敞口加料方式，气体液体物料使用输送泵泵入外，固体物料溶解成溶液或浆料后泵入，必须以固态形式加入的则采用星型加料斗加料。</w:t>
            </w:r>
          </w:p>
          <w:p>
            <w:pPr>
              <w:spacing w:line="240" w:lineRule="exact"/>
              <w:rPr>
                <w:kern w:val="0"/>
                <w:sz w:val="18"/>
                <w:szCs w:val="18"/>
              </w:rPr>
            </w:pPr>
            <w:r>
              <w:rPr>
                <w:kern w:val="0"/>
                <w:sz w:val="18"/>
                <w:szCs w:val="18"/>
              </w:rPr>
              <w:t>2）针对易发生泄漏的泵、法兰和阀门等设备，须选用质量过关的产品，日常生产中须加强对输料泵、管道、阀门的经常性检查更换，防止溶剂的跑、冒、滴、漏及挥发，可大大降低废气无组织排放。</w:t>
            </w:r>
          </w:p>
          <w:p>
            <w:pPr>
              <w:spacing w:line="240" w:lineRule="exact"/>
              <w:rPr>
                <w:kern w:val="0"/>
                <w:sz w:val="18"/>
                <w:szCs w:val="18"/>
              </w:rPr>
            </w:pPr>
            <w:r>
              <w:rPr>
                <w:kern w:val="0"/>
                <w:sz w:val="18"/>
                <w:szCs w:val="18"/>
              </w:rPr>
              <w:t>3）生产过程中设备如出现漏料、堵料或溢料跑尘时，应尽快组织处理，在短时间内不能处理的，必须停机处理完善后方可复开机，原材料运输车辆，在运输中可能产生粉尘污染，应遮盖严密，捆绑牢固，厂区内严禁出现扬尘或散落现象。</w:t>
            </w:r>
          </w:p>
          <w:p>
            <w:pPr>
              <w:spacing w:line="240" w:lineRule="exact"/>
              <w:rPr>
                <w:kern w:val="0"/>
                <w:sz w:val="18"/>
                <w:szCs w:val="18"/>
              </w:rPr>
            </w:pPr>
            <w:r>
              <w:rPr>
                <w:kern w:val="0"/>
                <w:sz w:val="18"/>
                <w:szCs w:val="18"/>
              </w:rPr>
              <w:t>4）加强对包装搬运的管理，禁止野蛮装运，防止和避免落袋与装车中的包装破损，以减少装运过程中的粉尘污染。</w:t>
            </w:r>
          </w:p>
          <w:p>
            <w:pPr>
              <w:spacing w:line="240" w:lineRule="exact"/>
              <w:rPr>
                <w:kern w:val="0"/>
                <w:sz w:val="18"/>
                <w:szCs w:val="18"/>
              </w:rPr>
            </w:pPr>
            <w:r>
              <w:rPr>
                <w:kern w:val="0"/>
                <w:sz w:val="18"/>
                <w:szCs w:val="18"/>
              </w:rPr>
              <w:t>5）此外，项目还针对无组织废气分别划定了卫生防护距离，以氟橡胶车间边界外划定100m区域、以MOVE实验楼边界外划定100m区域所形成的包络线范围；该范围均在现有晨光基地内，无住户和其它敏感目标，无需进行环保搬迁。本环评提出：在卫生防护距离内，今后不得迁入人群居住、学校、医院以及食品、医药等成品生产企业。本环评批复后须送达当地相关部门备案，确保防护距离要求得以保证。</w:t>
            </w:r>
          </w:p>
        </w:tc>
        <w:tc>
          <w:tcPr>
            <w:tcW w:w="992" w:type="dxa"/>
            <w:vMerge w:val="continue"/>
            <w:tcBorders>
              <w:top w:val="single" w:color="auto" w:sz="4" w:space="0"/>
              <w:left w:val="single" w:color="auto" w:sz="4" w:space="0"/>
              <w:bottom w:val="single" w:color="auto" w:sz="4" w:space="0"/>
              <w:right w:val="nil"/>
            </w:tcBorders>
            <w:noWrap w:val="0"/>
            <w:vAlign w:val="center"/>
          </w:tcPr>
          <w:p>
            <w:pPr>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p>
        </w:tc>
        <w:tc>
          <w:tcPr>
            <w:tcW w:w="45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废</w:t>
            </w:r>
          </w:p>
          <w:p>
            <w:pPr>
              <w:spacing w:line="240" w:lineRule="exact"/>
              <w:contextualSpacing/>
              <w:jc w:val="center"/>
              <w:rPr>
                <w:sz w:val="18"/>
                <w:szCs w:val="18"/>
              </w:rPr>
            </w:pPr>
            <w:r>
              <w:rPr>
                <w:sz w:val="18"/>
                <w:szCs w:val="18"/>
              </w:rPr>
              <w:t>水</w:t>
            </w:r>
          </w:p>
        </w:tc>
        <w:tc>
          <w:tcPr>
            <w:tcW w:w="1678" w:type="dxa"/>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center"/>
              <w:rPr>
                <w:rFonts w:ascii="Times New Roman" w:hAnsi="Times New Roman" w:cs="Times New Roman"/>
                <w:sz w:val="18"/>
                <w:szCs w:val="18"/>
              </w:rPr>
            </w:pPr>
            <w:r>
              <w:rPr>
                <w:rFonts w:ascii="Times New Roman" w:hAnsi="Times New Roman" w:cs="Times New Roman"/>
                <w:sz w:val="18"/>
                <w:szCs w:val="18"/>
              </w:rPr>
              <w:t>废橡胶车间废水和质检楼废水</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both"/>
              <w:rPr>
                <w:rFonts w:ascii="Times New Roman" w:hAnsi="Times New Roman" w:cs="Times New Roman"/>
                <w:sz w:val="18"/>
                <w:szCs w:val="18"/>
              </w:rPr>
            </w:pPr>
            <w:r>
              <w:rPr>
                <w:rFonts w:ascii="Times New Roman" w:hAnsi="Times New Roman" w:cs="Times New Roman"/>
                <w:sz w:val="18"/>
                <w:szCs w:val="18"/>
              </w:rPr>
              <w:t>废水依托晨光院厂区现有综合废水站进行处理,</w:t>
            </w:r>
            <w:r>
              <w:rPr>
                <w:rFonts w:ascii="Times New Roman" w:hAnsi="Times New Roman" w:cs="Times New Roman"/>
                <w:sz w:val="28"/>
                <w:szCs w:val="28"/>
              </w:rPr>
              <w:t xml:space="preserve"> </w:t>
            </w:r>
            <w:r>
              <w:rPr>
                <w:rFonts w:ascii="Times New Roman" w:hAnsi="Times New Roman" w:cs="Times New Roman"/>
                <w:sz w:val="18"/>
                <w:szCs w:val="18"/>
              </w:rPr>
              <w:t>晨光院厂区内已建1座设计处理能力为200m</w:t>
            </w:r>
            <w:r>
              <w:rPr>
                <w:rFonts w:ascii="Times New Roman" w:hAnsi="Times New Roman" w:cs="Times New Roman"/>
                <w:sz w:val="18"/>
                <w:szCs w:val="18"/>
                <w:vertAlign w:val="superscript"/>
              </w:rPr>
              <w:t>3</w:t>
            </w:r>
            <w:r>
              <w:rPr>
                <w:rFonts w:ascii="Times New Roman" w:hAnsi="Times New Roman" w:cs="Times New Roman"/>
                <w:sz w:val="18"/>
                <w:szCs w:val="18"/>
              </w:rPr>
              <w:t>/d的含氟废水处理站，目前含氟废水处理站实际处理量约162m</w:t>
            </w:r>
            <w:r>
              <w:rPr>
                <w:rFonts w:ascii="Times New Roman" w:hAnsi="Times New Roman" w:cs="Times New Roman"/>
                <w:sz w:val="18"/>
                <w:szCs w:val="18"/>
                <w:vertAlign w:val="superscript"/>
              </w:rPr>
              <w:t>3</w:t>
            </w:r>
            <w:r>
              <w:rPr>
                <w:rFonts w:ascii="Times New Roman" w:hAnsi="Times New Roman" w:cs="Times New Roman"/>
                <w:sz w:val="18"/>
                <w:szCs w:val="18"/>
              </w:rPr>
              <w:t>/d，尚有38m</w:t>
            </w:r>
            <w:r>
              <w:rPr>
                <w:rFonts w:ascii="Times New Roman" w:hAnsi="Times New Roman" w:cs="Times New Roman"/>
                <w:sz w:val="18"/>
                <w:szCs w:val="18"/>
                <w:vertAlign w:val="superscript"/>
              </w:rPr>
              <w:t>3</w:t>
            </w:r>
            <w:r>
              <w:rPr>
                <w:rFonts w:ascii="Times New Roman" w:hAnsi="Times New Roman" w:cs="Times New Roman"/>
                <w:sz w:val="18"/>
                <w:szCs w:val="18"/>
              </w:rPr>
              <w:t>/d的富余能力。本项目需排入含氟废水站处理的含氟废水量为2.5m</w:t>
            </w:r>
            <w:r>
              <w:rPr>
                <w:rFonts w:ascii="Times New Roman" w:hAnsi="Times New Roman" w:cs="Times New Roman"/>
                <w:sz w:val="18"/>
                <w:szCs w:val="18"/>
                <w:vertAlign w:val="superscript"/>
              </w:rPr>
              <w:t>3</w:t>
            </w:r>
            <w:r>
              <w:rPr>
                <w:rFonts w:ascii="Times New Roman" w:hAnsi="Times New Roman" w:cs="Times New Roman"/>
                <w:sz w:val="18"/>
                <w:szCs w:val="18"/>
              </w:rPr>
              <w:t>/d，小于38m</w:t>
            </w:r>
            <w:r>
              <w:rPr>
                <w:rFonts w:ascii="Times New Roman" w:hAnsi="Times New Roman" w:cs="Times New Roman"/>
                <w:sz w:val="18"/>
                <w:szCs w:val="18"/>
                <w:vertAlign w:val="superscript"/>
              </w:rPr>
              <w:t>3</w:t>
            </w:r>
            <w:r>
              <w:rPr>
                <w:rFonts w:ascii="Times New Roman" w:hAnsi="Times New Roman" w:cs="Times New Roman"/>
                <w:sz w:val="18"/>
                <w:szCs w:val="18"/>
              </w:rPr>
              <w:t>/d的富余能力。</w:t>
            </w:r>
          </w:p>
        </w:tc>
        <w:tc>
          <w:tcPr>
            <w:tcW w:w="992" w:type="dxa"/>
            <w:vMerge w:val="restart"/>
            <w:tcBorders>
              <w:top w:val="single" w:color="auto" w:sz="4" w:space="0"/>
              <w:left w:val="single" w:color="auto" w:sz="4" w:space="0"/>
              <w:right w:val="nil"/>
            </w:tcBorders>
            <w:noWrap w:val="0"/>
            <w:vAlign w:val="center"/>
          </w:tcPr>
          <w:p>
            <w:pPr>
              <w:spacing w:line="240" w:lineRule="exact"/>
              <w:contextualSpacing/>
              <w:jc w:val="center"/>
              <w:rPr>
                <w:sz w:val="18"/>
                <w:szCs w:val="18"/>
              </w:rPr>
            </w:pPr>
            <w:r>
              <w:rPr>
                <w:sz w:val="18"/>
                <w:szCs w:val="18"/>
              </w:rPr>
              <w:t>依托现厂</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p>
        </w:tc>
        <w:tc>
          <w:tcPr>
            <w:tcW w:w="45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center"/>
              <w:rPr>
                <w:rFonts w:ascii="Times New Roman" w:hAnsi="Times New Roman" w:cs="Times New Roman"/>
                <w:sz w:val="18"/>
                <w:szCs w:val="18"/>
              </w:rPr>
            </w:pPr>
            <w:r>
              <w:rPr>
                <w:rFonts w:ascii="Times New Roman" w:hAnsi="Times New Roman" w:cs="Times New Roman"/>
                <w:sz w:val="18"/>
                <w:szCs w:val="18"/>
              </w:rPr>
              <w:t>MOVE实验楼废水</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rPr>
                <w:sz w:val="18"/>
                <w:szCs w:val="18"/>
              </w:rPr>
            </w:pPr>
            <w:r>
              <w:rPr>
                <w:sz w:val="18"/>
                <w:szCs w:val="18"/>
              </w:rPr>
              <w:t>依托晨光院厂区现有含氟废水站进行处理，晨光院厂区内已建1座设计处理能力为1000m</w:t>
            </w:r>
            <w:r>
              <w:rPr>
                <w:sz w:val="18"/>
                <w:szCs w:val="18"/>
                <w:vertAlign w:val="superscript"/>
              </w:rPr>
              <w:t>3</w:t>
            </w:r>
            <w:r>
              <w:rPr>
                <w:sz w:val="18"/>
                <w:szCs w:val="18"/>
              </w:rPr>
              <w:t>/d综合废水处理站，目前综合废水处理站实际处理量约700m</w:t>
            </w:r>
            <w:r>
              <w:rPr>
                <w:sz w:val="18"/>
                <w:szCs w:val="18"/>
                <w:vertAlign w:val="superscript"/>
              </w:rPr>
              <w:t>3</w:t>
            </w:r>
            <w:r>
              <w:rPr>
                <w:sz w:val="18"/>
                <w:szCs w:val="18"/>
              </w:rPr>
              <w:t>/d，尚有300m</w:t>
            </w:r>
            <w:r>
              <w:rPr>
                <w:sz w:val="18"/>
                <w:szCs w:val="18"/>
                <w:vertAlign w:val="superscript"/>
              </w:rPr>
              <w:t>3</w:t>
            </w:r>
            <w:r>
              <w:rPr>
                <w:sz w:val="18"/>
                <w:szCs w:val="18"/>
              </w:rPr>
              <w:t>/d的富余能力。而本项目需要厂区综合废水处理站的废水量为0.72m</w:t>
            </w:r>
            <w:r>
              <w:rPr>
                <w:sz w:val="18"/>
                <w:szCs w:val="18"/>
                <w:vertAlign w:val="superscript"/>
              </w:rPr>
              <w:t>3</w:t>
            </w:r>
            <w:r>
              <w:rPr>
                <w:sz w:val="18"/>
                <w:szCs w:val="18"/>
              </w:rPr>
              <w:t>/d，远小于300m</w:t>
            </w:r>
            <w:r>
              <w:rPr>
                <w:sz w:val="18"/>
                <w:szCs w:val="18"/>
                <w:vertAlign w:val="superscript"/>
              </w:rPr>
              <w:t>3</w:t>
            </w:r>
            <w:r>
              <w:rPr>
                <w:sz w:val="18"/>
                <w:szCs w:val="18"/>
              </w:rPr>
              <w:t>/d的富余能力。</w:t>
            </w:r>
          </w:p>
        </w:tc>
        <w:tc>
          <w:tcPr>
            <w:tcW w:w="992" w:type="dxa"/>
            <w:vMerge w:val="continue"/>
            <w:tcBorders>
              <w:left w:val="single" w:color="auto" w:sz="4" w:space="0"/>
              <w:right w:val="nil"/>
            </w:tcBorders>
            <w:noWrap w:val="0"/>
            <w:vAlign w:val="center"/>
          </w:tcPr>
          <w:p>
            <w:pPr>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565" w:type="dxa"/>
            <w:vMerge w:val="continue"/>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p>
        </w:tc>
        <w:tc>
          <w:tcPr>
            <w:tcW w:w="45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p>
        </w:tc>
        <w:tc>
          <w:tcPr>
            <w:tcW w:w="7065" w:type="dxa"/>
            <w:gridSpan w:val="2"/>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both"/>
              <w:rPr>
                <w:rFonts w:ascii="Times New Roman" w:hAnsi="Times New Roman" w:cs="Times New Roman"/>
                <w:sz w:val="18"/>
                <w:szCs w:val="18"/>
              </w:rPr>
            </w:pPr>
            <w:r>
              <w:rPr>
                <w:rFonts w:ascii="Times New Roman" w:hAnsi="Times New Roman" w:cs="Times New Roman"/>
                <w:bCs/>
                <w:sz w:val="18"/>
                <w:szCs w:val="18"/>
              </w:rPr>
              <w:t>本项目依托</w:t>
            </w:r>
            <w:r>
              <w:rPr>
                <w:rFonts w:ascii="Times New Roman" w:hAnsi="Times New Roman" w:cs="Times New Roman"/>
                <w:b/>
                <w:bCs/>
                <w:sz w:val="18"/>
                <w:szCs w:val="18"/>
              </w:rPr>
              <w:t>晨光生产基地现有设置的</w:t>
            </w:r>
            <w:r>
              <w:rPr>
                <w:rFonts w:ascii="Times New Roman" w:hAnsi="Times New Roman" w:cs="Times New Roman"/>
                <w:bCs/>
                <w:sz w:val="18"/>
                <w:szCs w:val="18"/>
              </w:rPr>
              <w:t>4个事故池，总容积为5000 m</w:t>
            </w:r>
            <w:r>
              <w:rPr>
                <w:rFonts w:ascii="Times New Roman" w:hAnsi="Times New Roman" w:cs="Times New Roman"/>
                <w:bCs/>
                <w:sz w:val="18"/>
                <w:szCs w:val="18"/>
                <w:vertAlign w:val="superscript"/>
              </w:rPr>
              <w:t>3</w:t>
            </w:r>
            <w:r>
              <w:rPr>
                <w:rFonts w:ascii="Times New Roman" w:hAnsi="Times New Roman" w:cs="Times New Roman"/>
                <w:bCs/>
                <w:sz w:val="18"/>
                <w:szCs w:val="18"/>
              </w:rPr>
              <w:t>（分别为2400m</w:t>
            </w:r>
            <w:r>
              <w:rPr>
                <w:rFonts w:ascii="Times New Roman" w:hAnsi="Times New Roman" w:cs="Times New Roman"/>
                <w:bCs/>
                <w:sz w:val="18"/>
                <w:szCs w:val="18"/>
                <w:vertAlign w:val="superscript"/>
              </w:rPr>
              <w:t>3</w:t>
            </w:r>
            <w:r>
              <w:rPr>
                <w:rFonts w:ascii="Times New Roman" w:hAnsi="Times New Roman" w:cs="Times New Roman"/>
                <w:bCs/>
                <w:sz w:val="18"/>
                <w:szCs w:val="18"/>
              </w:rPr>
              <w:t>、1000m</w:t>
            </w:r>
            <w:r>
              <w:rPr>
                <w:rFonts w:ascii="Times New Roman" w:hAnsi="Times New Roman" w:cs="Times New Roman"/>
                <w:bCs/>
                <w:sz w:val="18"/>
                <w:szCs w:val="18"/>
                <w:vertAlign w:val="superscript"/>
              </w:rPr>
              <w:t>3</w:t>
            </w:r>
            <w:r>
              <w:rPr>
                <w:rFonts w:ascii="Times New Roman" w:hAnsi="Times New Roman" w:cs="Times New Roman"/>
                <w:bCs/>
                <w:sz w:val="18"/>
                <w:szCs w:val="18"/>
              </w:rPr>
              <w:t>、2×800m</w:t>
            </w:r>
            <w:r>
              <w:rPr>
                <w:rFonts w:ascii="Times New Roman" w:hAnsi="Times New Roman" w:cs="Times New Roman"/>
                <w:bCs/>
                <w:sz w:val="18"/>
                <w:szCs w:val="18"/>
                <w:vertAlign w:val="superscript"/>
              </w:rPr>
              <w:t>3</w:t>
            </w:r>
            <w:r>
              <w:rPr>
                <w:rFonts w:ascii="Times New Roman" w:hAnsi="Times New Roman" w:cs="Times New Roman"/>
                <w:bCs/>
                <w:sz w:val="18"/>
                <w:szCs w:val="18"/>
              </w:rPr>
              <w:t>事故池）。</w:t>
            </w:r>
            <w:r>
              <w:rPr>
                <w:rFonts w:ascii="Times New Roman" w:hAnsi="Times New Roman" w:cs="Times New Roman"/>
                <w:b/>
                <w:bCs/>
                <w:sz w:val="18"/>
                <w:szCs w:val="18"/>
              </w:rPr>
              <w:t>本环评要求，</w:t>
            </w:r>
            <w:r>
              <w:rPr>
                <w:rFonts w:ascii="Times New Roman" w:hAnsi="Times New Roman" w:cs="Times New Roman"/>
                <w:bCs/>
                <w:sz w:val="18"/>
                <w:szCs w:val="18"/>
              </w:rPr>
              <w:t>厂区雨水、污水出厂口均设置截止设施，事故状态下关闭厂区各雨污出口，确保事故废水不出厂区；各事故废水收集设施（兼顾消防废水收集功能）应确保其处于空置状态；项目事故废水及消防废水必须经统一收集后暂存于事故废水收集设施，之后定期泵送至厂区废水站处理达标后送园区污水处理厂。杜绝事故废水未经处理排入沱江，避免对周围水环境造成影响。</w:t>
            </w:r>
          </w:p>
        </w:tc>
        <w:tc>
          <w:tcPr>
            <w:tcW w:w="992" w:type="dxa"/>
            <w:vMerge w:val="continue"/>
            <w:tcBorders>
              <w:left w:val="single" w:color="auto" w:sz="4" w:space="0"/>
              <w:bottom w:val="single" w:color="auto" w:sz="4" w:space="0"/>
              <w:right w:val="nil"/>
            </w:tcBorders>
            <w:noWrap w:val="0"/>
            <w:vAlign w:val="center"/>
          </w:tcPr>
          <w:p>
            <w:pPr>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spacing w:line="240" w:lineRule="exact"/>
              <w:contextualSpacing/>
              <w:jc w:val="center"/>
              <w:rPr>
                <w:sz w:val="18"/>
                <w:szCs w:val="18"/>
              </w:rPr>
            </w:pPr>
          </w:p>
        </w:tc>
        <w:tc>
          <w:tcPr>
            <w:tcW w:w="4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contextualSpacing/>
              <w:jc w:val="center"/>
              <w:rPr>
                <w:sz w:val="18"/>
                <w:szCs w:val="18"/>
              </w:rPr>
            </w:pPr>
            <w:r>
              <w:rPr>
                <w:sz w:val="18"/>
                <w:szCs w:val="18"/>
              </w:rPr>
              <w:t>地</w:t>
            </w:r>
          </w:p>
          <w:p>
            <w:pPr>
              <w:spacing w:line="240" w:lineRule="exact"/>
              <w:contextualSpacing/>
              <w:jc w:val="center"/>
              <w:rPr>
                <w:sz w:val="18"/>
                <w:szCs w:val="18"/>
              </w:rPr>
            </w:pPr>
            <w:r>
              <w:rPr>
                <w:sz w:val="18"/>
                <w:szCs w:val="18"/>
              </w:rPr>
              <w:t>下</w:t>
            </w:r>
          </w:p>
          <w:p>
            <w:pPr>
              <w:spacing w:line="240" w:lineRule="exact"/>
              <w:contextualSpacing/>
              <w:jc w:val="center"/>
              <w:rPr>
                <w:sz w:val="18"/>
                <w:szCs w:val="18"/>
              </w:rPr>
            </w:pPr>
            <w:r>
              <w:rPr>
                <w:sz w:val="18"/>
                <w:szCs w:val="18"/>
              </w:rPr>
              <w:t>水</w:t>
            </w:r>
          </w:p>
        </w:tc>
        <w:tc>
          <w:tcPr>
            <w:tcW w:w="706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z w:val="18"/>
                <w:szCs w:val="18"/>
              </w:rPr>
            </w:pPr>
            <w:r>
              <w:rPr>
                <w:sz w:val="18"/>
                <w:szCs w:val="18"/>
              </w:rPr>
              <w:t>（1）在项目各处可能导致渗漏的车间/楼等，均采取防渗处理，（2）包括氟橡胶车间、MOVE实验楼</w:t>
            </w:r>
            <w:r>
              <w:rPr>
                <w:bCs/>
                <w:sz w:val="18"/>
                <w:szCs w:val="18"/>
              </w:rPr>
              <w:t>等区域为项目地下水</w:t>
            </w:r>
            <w:r>
              <w:rPr>
                <w:sz w:val="18"/>
                <w:szCs w:val="18"/>
              </w:rPr>
              <w:t>重点污染防治区</w:t>
            </w:r>
            <w:r>
              <w:rPr>
                <w:bCs/>
                <w:sz w:val="18"/>
                <w:szCs w:val="18"/>
              </w:rPr>
              <w:t>，设置复合防渗结构，渗透系数≤1.0×10</w:t>
            </w:r>
            <w:r>
              <w:rPr>
                <w:bCs/>
                <w:sz w:val="18"/>
                <w:szCs w:val="18"/>
                <w:vertAlign w:val="superscript"/>
              </w:rPr>
              <w:t>-10</w:t>
            </w:r>
            <w:r>
              <w:rPr>
                <w:bCs/>
                <w:sz w:val="18"/>
                <w:szCs w:val="18"/>
              </w:rPr>
              <w:t>cm/s及收集、检漏系统等</w:t>
            </w:r>
            <w:r>
              <w:rPr>
                <w:sz w:val="18"/>
                <w:szCs w:val="18"/>
              </w:rPr>
              <w:t>。</w:t>
            </w:r>
          </w:p>
        </w:tc>
        <w:tc>
          <w:tcPr>
            <w:tcW w:w="992" w:type="dxa"/>
            <w:tcBorders>
              <w:top w:val="single" w:color="auto" w:sz="4" w:space="0"/>
              <w:left w:val="single" w:color="auto" w:sz="4" w:space="0"/>
              <w:bottom w:val="single" w:color="auto" w:sz="4" w:space="0"/>
              <w:right w:val="nil"/>
            </w:tcBorders>
            <w:noWrap w:val="0"/>
            <w:vAlign w:val="center"/>
          </w:tcPr>
          <w:p>
            <w:pPr>
              <w:spacing w:line="240" w:lineRule="exact"/>
              <w:contextualSpacing/>
              <w:jc w:val="center"/>
              <w:rPr>
                <w:sz w:val="18"/>
                <w:szCs w:val="18"/>
              </w:rPr>
            </w:pPr>
            <w:r>
              <w:rPr>
                <w:sz w:val="18"/>
                <w:szCs w:val="18"/>
              </w:rPr>
              <w:t>100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restart"/>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营</w:t>
            </w:r>
          </w:p>
          <w:p>
            <w:pPr>
              <w:widowControl/>
              <w:spacing w:line="240" w:lineRule="exact"/>
              <w:contextualSpacing/>
              <w:jc w:val="center"/>
              <w:rPr>
                <w:sz w:val="18"/>
                <w:szCs w:val="18"/>
              </w:rPr>
            </w:pPr>
            <w:r>
              <w:rPr>
                <w:sz w:val="18"/>
                <w:szCs w:val="18"/>
              </w:rPr>
              <w:t>运</w:t>
            </w:r>
          </w:p>
          <w:p>
            <w:pPr>
              <w:widowControl/>
              <w:spacing w:line="240" w:lineRule="exact"/>
              <w:contextualSpacing/>
              <w:jc w:val="center"/>
              <w:rPr>
                <w:sz w:val="18"/>
                <w:szCs w:val="18"/>
              </w:rPr>
            </w:pPr>
            <w:r>
              <w:rPr>
                <w:sz w:val="18"/>
                <w:szCs w:val="18"/>
              </w:rPr>
              <w:t>期</w:t>
            </w:r>
          </w:p>
        </w:tc>
        <w:tc>
          <w:tcPr>
            <w:tcW w:w="45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噪  声</w:t>
            </w:r>
          </w:p>
        </w:tc>
        <w:tc>
          <w:tcPr>
            <w:tcW w:w="706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z w:val="18"/>
                <w:szCs w:val="18"/>
              </w:rPr>
            </w:pPr>
            <w:r>
              <w:rPr>
                <w:sz w:val="18"/>
                <w:szCs w:val="18"/>
              </w:rPr>
              <w:t>合理布置总图；压缩机类减振、隔声；室内风机类减振、厂房隔声；泵类减振、隔声；冷却塔风机要求远离厂界50m外。</w:t>
            </w:r>
          </w:p>
        </w:tc>
        <w:tc>
          <w:tcPr>
            <w:tcW w:w="992" w:type="dxa"/>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r>
              <w:rPr>
                <w:sz w:val="18"/>
                <w:szCs w:val="18"/>
              </w:rPr>
              <w:t>50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45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工业固废</w:t>
            </w:r>
          </w:p>
        </w:tc>
        <w:tc>
          <w:tcPr>
            <w:tcW w:w="1678" w:type="dxa"/>
            <w:tcBorders>
              <w:top w:val="single" w:color="auto" w:sz="4" w:space="0"/>
              <w:left w:val="single" w:color="auto" w:sz="4" w:space="0"/>
              <w:bottom w:val="single" w:color="auto" w:sz="4" w:space="0"/>
              <w:right w:val="single" w:color="auto" w:sz="4" w:space="0"/>
            </w:tcBorders>
            <w:noWrap w:val="0"/>
            <w:vAlign w:val="center"/>
          </w:tcPr>
          <w:p>
            <w:pPr>
              <w:pStyle w:val="38"/>
              <w:spacing w:before="0" w:beforeAutospacing="0" w:after="0" w:afterAutospacing="0" w:line="240" w:lineRule="exact"/>
              <w:contextualSpacing/>
              <w:jc w:val="center"/>
              <w:rPr>
                <w:rFonts w:ascii="Times New Roman" w:hAnsi="Times New Roman" w:cs="Times New Roman"/>
                <w:sz w:val="18"/>
                <w:szCs w:val="18"/>
              </w:rPr>
            </w:pPr>
            <w:r>
              <w:rPr>
                <w:rFonts w:ascii="Times New Roman" w:hAnsi="Times New Roman" w:cs="Times New Roman"/>
                <w:sz w:val="18"/>
                <w:szCs w:val="18"/>
              </w:rPr>
              <w:t>危险废物送等离子焚烧炉</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乙腈回收釜将产生回收残液（S</w:t>
            </w:r>
            <w:r>
              <w:rPr>
                <w:sz w:val="18"/>
                <w:szCs w:val="18"/>
                <w:vertAlign w:val="subscript"/>
              </w:rPr>
              <w:t>2-1</w:t>
            </w:r>
            <w:r>
              <w:rPr>
                <w:sz w:val="18"/>
                <w:szCs w:val="18"/>
              </w:rPr>
              <w:t>）、三聚物精馏塔将产生精馏残液（S</w:t>
            </w:r>
            <w:r>
              <w:rPr>
                <w:sz w:val="18"/>
                <w:szCs w:val="18"/>
                <w:vertAlign w:val="subscript"/>
              </w:rPr>
              <w:t>2-2</w:t>
            </w:r>
            <w:r>
              <w:rPr>
                <w:sz w:val="18"/>
                <w:szCs w:val="18"/>
              </w:rPr>
              <w:t>）、乙醇精馏塔将产生精馏残液（S</w:t>
            </w:r>
            <w:r>
              <w:rPr>
                <w:sz w:val="18"/>
                <w:szCs w:val="18"/>
                <w:vertAlign w:val="subscript"/>
              </w:rPr>
              <w:t>2-4</w:t>
            </w:r>
            <w:r>
              <w:rPr>
                <w:sz w:val="18"/>
                <w:szCs w:val="18"/>
              </w:rPr>
              <w:t>）、POPVE精馏塔将产生精馏残液（S</w:t>
            </w:r>
            <w:r>
              <w:rPr>
                <w:sz w:val="18"/>
                <w:szCs w:val="18"/>
                <w:vertAlign w:val="subscript"/>
              </w:rPr>
              <w:t>2-5</w:t>
            </w:r>
            <w:r>
              <w:rPr>
                <w:sz w:val="18"/>
                <w:szCs w:val="18"/>
              </w:rPr>
              <w:t>）、MOVE加成物精馏塔2#将产生等离子残液（S</w:t>
            </w:r>
            <w:r>
              <w:rPr>
                <w:sz w:val="18"/>
                <w:szCs w:val="18"/>
                <w:vertAlign w:val="subscript"/>
              </w:rPr>
              <w:t>3-4</w:t>
            </w:r>
            <w:r>
              <w:rPr>
                <w:sz w:val="18"/>
                <w:szCs w:val="18"/>
              </w:rPr>
              <w:t>）</w:t>
            </w:r>
          </w:p>
          <w:p>
            <w:pPr>
              <w:spacing w:line="240" w:lineRule="exact"/>
              <w:rPr>
                <w:sz w:val="18"/>
                <w:szCs w:val="18"/>
              </w:rPr>
            </w:pPr>
            <w:r>
              <w:rPr>
                <w:sz w:val="18"/>
                <w:szCs w:val="18"/>
              </w:rPr>
              <w:t>、MOVE常压精馏塔将产生等离子残液（S</w:t>
            </w:r>
            <w:r>
              <w:rPr>
                <w:sz w:val="18"/>
                <w:szCs w:val="18"/>
                <w:vertAlign w:val="subscript"/>
              </w:rPr>
              <w:t>3-5</w:t>
            </w:r>
            <w:r>
              <w:rPr>
                <w:sz w:val="18"/>
                <w:szCs w:val="18"/>
              </w:rPr>
              <w:t>）、PMVE加成物精馏塔1#冷凝器产生冷凝液（S</w:t>
            </w:r>
            <w:r>
              <w:rPr>
                <w:sz w:val="18"/>
                <w:szCs w:val="18"/>
                <w:vertAlign w:val="subscript"/>
              </w:rPr>
              <w:t>3-6</w:t>
            </w:r>
            <w:r>
              <w:rPr>
                <w:sz w:val="18"/>
                <w:szCs w:val="18"/>
              </w:rPr>
              <w:t>）、PMVE加成物精馏塔2#冷凝器将产生精馏残液（S</w:t>
            </w:r>
            <w:r>
              <w:rPr>
                <w:sz w:val="18"/>
                <w:szCs w:val="18"/>
                <w:vertAlign w:val="subscript"/>
              </w:rPr>
              <w:t>3-7</w:t>
            </w:r>
            <w:r>
              <w:rPr>
                <w:sz w:val="18"/>
                <w:szCs w:val="18"/>
              </w:rPr>
              <w:t>）、DMF精馏塔将产生精馏残液（S</w:t>
            </w:r>
            <w:r>
              <w:rPr>
                <w:sz w:val="18"/>
                <w:szCs w:val="18"/>
                <w:vertAlign w:val="subscript"/>
              </w:rPr>
              <w:t>3-9</w:t>
            </w:r>
            <w:r>
              <w:rPr>
                <w:sz w:val="18"/>
                <w:szCs w:val="18"/>
              </w:rPr>
              <w:t>）</w:t>
            </w:r>
          </w:p>
        </w:tc>
        <w:tc>
          <w:tcPr>
            <w:tcW w:w="992" w:type="dxa"/>
            <w:vMerge w:val="restart"/>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r>
              <w:rPr>
                <w:sz w:val="18"/>
                <w:szCs w:val="18"/>
              </w:rPr>
              <w:t>300</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45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危险废物外委有资质单位处理</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kern w:val="0"/>
                <w:sz w:val="18"/>
                <w:szCs w:val="18"/>
              </w:rPr>
              <w:t>压缩机将产生废油（S</w:t>
            </w:r>
            <w:r>
              <w:rPr>
                <w:kern w:val="0"/>
                <w:sz w:val="18"/>
                <w:szCs w:val="18"/>
                <w:vertAlign w:val="subscript"/>
              </w:rPr>
              <w:t>1-1</w:t>
            </w:r>
            <w:r>
              <w:rPr>
                <w:kern w:val="0"/>
                <w:sz w:val="18"/>
                <w:szCs w:val="18"/>
              </w:rPr>
              <w:t>、S</w:t>
            </w:r>
            <w:r>
              <w:rPr>
                <w:kern w:val="0"/>
                <w:sz w:val="18"/>
                <w:szCs w:val="18"/>
                <w:vertAlign w:val="subscript"/>
              </w:rPr>
              <w:t>1-2</w:t>
            </w:r>
            <w:r>
              <w:rPr>
                <w:kern w:val="0"/>
                <w:sz w:val="18"/>
                <w:szCs w:val="18"/>
              </w:rPr>
              <w:t>）</w:t>
            </w:r>
            <w:r>
              <w:rPr>
                <w:sz w:val="18"/>
                <w:szCs w:val="18"/>
              </w:rPr>
              <w:t>、旋转蒸发器将产生少量反应残渣（S</w:t>
            </w:r>
            <w:r>
              <w:rPr>
                <w:sz w:val="18"/>
                <w:szCs w:val="18"/>
                <w:vertAlign w:val="subscript"/>
              </w:rPr>
              <w:t>2-3</w:t>
            </w:r>
            <w:r>
              <w:rPr>
                <w:sz w:val="18"/>
                <w:szCs w:val="18"/>
              </w:rPr>
              <w:t>）、DMF净化的过滤器将产生部分滤渣（S</w:t>
            </w:r>
            <w:r>
              <w:rPr>
                <w:sz w:val="18"/>
                <w:szCs w:val="18"/>
                <w:vertAlign w:val="subscript"/>
              </w:rPr>
              <w:t>3-8</w:t>
            </w:r>
            <w:r>
              <w:rPr>
                <w:sz w:val="18"/>
                <w:szCs w:val="18"/>
              </w:rPr>
              <w:t>）、质检楼产生的废液（S</w:t>
            </w:r>
            <w:r>
              <w:rPr>
                <w:sz w:val="18"/>
                <w:szCs w:val="18"/>
                <w:vertAlign w:val="subscript"/>
              </w:rPr>
              <w:t>5-2</w:t>
            </w:r>
            <w:r>
              <w:rPr>
                <w:sz w:val="18"/>
                <w:szCs w:val="18"/>
              </w:rPr>
              <w:t>）、废弃活性炭（S</w:t>
            </w:r>
            <w:r>
              <w:rPr>
                <w:sz w:val="18"/>
                <w:szCs w:val="18"/>
                <w:vertAlign w:val="subscript"/>
              </w:rPr>
              <w:t>5-3</w:t>
            </w:r>
            <w:r>
              <w:rPr>
                <w:sz w:val="18"/>
                <w:szCs w:val="18"/>
              </w:rPr>
              <w:t>）</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45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作等外品外售</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质检楼产生的普通固体废物为分析、制样产生的边角料（S</w:t>
            </w:r>
            <w:r>
              <w:rPr>
                <w:sz w:val="18"/>
                <w:szCs w:val="18"/>
                <w:vertAlign w:val="subscript"/>
              </w:rPr>
              <w:t>5-1</w:t>
            </w:r>
            <w:r>
              <w:rPr>
                <w:sz w:val="18"/>
                <w:szCs w:val="18"/>
              </w:rPr>
              <w:t>）</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45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167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外委有回收资质的生产厂家回收</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电解制氟电解槽将产生电解槽废电解质（S</w:t>
            </w:r>
            <w:r>
              <w:rPr>
                <w:sz w:val="18"/>
                <w:szCs w:val="18"/>
                <w:vertAlign w:val="subscript"/>
              </w:rPr>
              <w:t>3-1</w:t>
            </w:r>
            <w:r>
              <w:rPr>
                <w:sz w:val="18"/>
                <w:szCs w:val="18"/>
              </w:rPr>
              <w:t>、S</w:t>
            </w:r>
            <w:r>
              <w:rPr>
                <w:sz w:val="18"/>
                <w:szCs w:val="18"/>
                <w:vertAlign w:val="subscript"/>
              </w:rPr>
              <w:t>3-2</w:t>
            </w:r>
            <w:r>
              <w:rPr>
                <w:sz w:val="18"/>
                <w:szCs w:val="18"/>
              </w:rPr>
              <w:t>、S</w:t>
            </w:r>
            <w:r>
              <w:rPr>
                <w:sz w:val="18"/>
                <w:szCs w:val="18"/>
                <w:vertAlign w:val="subscript"/>
              </w:rPr>
              <w:t>3-3</w:t>
            </w:r>
            <w:r>
              <w:rPr>
                <w:sz w:val="18"/>
                <w:szCs w:val="18"/>
              </w:rPr>
              <w:t>）</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风险防范</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z w:val="18"/>
                <w:szCs w:val="18"/>
              </w:rPr>
            </w:pPr>
            <w:r>
              <w:rPr>
                <w:sz w:val="18"/>
                <w:szCs w:val="18"/>
              </w:rPr>
              <w:t>在POPVE实验区、MOVE实验区、氟橡胶小试车间等设置有毒、可燃气体检测报警装置、物料压力、温度、液位、流量、组份等监测报警装置、火灾自动报警装置和自动联锁切断进料设施等；</w:t>
            </w:r>
          </w:p>
        </w:tc>
        <w:tc>
          <w:tcPr>
            <w:tcW w:w="992" w:type="dxa"/>
            <w:vMerge w:val="restart"/>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r>
              <w:rPr>
                <w:sz w:val="18"/>
                <w:szCs w:val="18"/>
              </w:rPr>
              <w:t>215</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bCs/>
                <w:sz w:val="18"/>
                <w:szCs w:val="18"/>
              </w:rPr>
            </w:pPr>
            <w:r>
              <w:rPr>
                <w:sz w:val="18"/>
                <w:szCs w:val="18"/>
              </w:rPr>
              <w:t>设置双回路电源及备用电源，以保证正常生产和事故应急。</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bCs/>
                <w:sz w:val="18"/>
                <w:szCs w:val="18"/>
              </w:rPr>
            </w:pPr>
            <w:r>
              <w:rPr>
                <w:sz w:val="18"/>
                <w:szCs w:val="18"/>
              </w:rPr>
              <w:t>安装消防管道设施、消防灭火设施、防护栏、安全警示标志等，配备气溶胶、干粉灭火器、二氧化碳灭火器、正压式防毒面具等。</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bCs/>
                <w:sz w:val="18"/>
                <w:szCs w:val="18"/>
              </w:rPr>
            </w:pPr>
            <w:r>
              <w:rPr>
                <w:sz w:val="18"/>
                <w:szCs w:val="18"/>
              </w:rPr>
              <w:t>采用无泄漏的密封泵（屏蔽电泵或磁力泵）</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bCs/>
                <w:sz w:val="18"/>
                <w:szCs w:val="18"/>
              </w:rPr>
            </w:pPr>
            <w:r>
              <w:rPr>
                <w:sz w:val="18"/>
                <w:szCs w:val="18"/>
              </w:rPr>
              <w:t>1）项目采用DCS自动控制系统，制定有效、可行的监控制度，落实专门的监控人员，确保在规定时间内实现紧急停车。</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pacing w:val="-2"/>
                <w:sz w:val="18"/>
                <w:szCs w:val="18"/>
              </w:rPr>
            </w:pPr>
            <w:r>
              <w:rPr>
                <w:sz w:val="18"/>
                <w:szCs w:val="18"/>
              </w:rPr>
              <w:t>2）贮罐区域设置围堰，围堰有效容积不小于罐区最大罐体的容积，并配备相连的备用贮罐，以便发生事故时可及时将其转移到安全处。落实专门的监控人员，确保在规定时间内实现紧急停车。在罐区、电解装置、氟化装置等区域设置碱液喷淋装置。</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z w:val="18"/>
                <w:szCs w:val="18"/>
              </w:rPr>
            </w:pPr>
            <w:r>
              <w:rPr>
                <w:sz w:val="18"/>
                <w:szCs w:val="18"/>
              </w:rPr>
              <w:t>3）在实验楼周围设置导流沟，并与厂区事故废水池相连。</w:t>
            </w:r>
          </w:p>
        </w:tc>
        <w:tc>
          <w:tcPr>
            <w:tcW w:w="992" w:type="dxa"/>
            <w:vMerge w:val="continue"/>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212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区域环境质量保障</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z w:val="18"/>
                <w:szCs w:val="18"/>
              </w:rPr>
            </w:pPr>
            <w:r>
              <w:rPr>
                <w:sz w:val="18"/>
                <w:szCs w:val="18"/>
              </w:rPr>
              <w:t>评价要求一旦发生泄漏等生产事故，引起区域环境质量超标，则企业必须立即关停相关生产装置，采取措施待区域环境质量达标后方可恢复生产。</w:t>
            </w:r>
          </w:p>
        </w:tc>
        <w:tc>
          <w:tcPr>
            <w:tcW w:w="992" w:type="dxa"/>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r>
              <w:rPr>
                <w:sz w:val="18"/>
                <w:szCs w:val="18"/>
              </w:rPr>
              <w:t>25</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65" w:type="dxa"/>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施工期</w:t>
            </w:r>
          </w:p>
        </w:tc>
        <w:tc>
          <w:tcPr>
            <w:tcW w:w="212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施工废水、扬尘、噪声</w:t>
            </w:r>
          </w:p>
          <w:p>
            <w:pPr>
              <w:widowControl/>
              <w:spacing w:line="240" w:lineRule="exact"/>
              <w:contextualSpacing/>
              <w:jc w:val="center"/>
              <w:rPr>
                <w:sz w:val="18"/>
                <w:szCs w:val="18"/>
              </w:rPr>
            </w:pPr>
            <w:r>
              <w:rPr>
                <w:sz w:val="18"/>
                <w:szCs w:val="18"/>
              </w:rPr>
              <w:t>防治措施</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rPr>
                <w:sz w:val="18"/>
                <w:szCs w:val="18"/>
              </w:rPr>
            </w:pPr>
            <w:r>
              <w:rPr>
                <w:sz w:val="18"/>
                <w:szCs w:val="18"/>
              </w:rPr>
              <w:t>洒水降尘，及时清扫路面尘土；禁止夜间施工，废水沉淀处理后尽量回用；及时绿化，保护植被。施工（包括厂外管道）完成后必须及时覆土，恢复植被。</w:t>
            </w:r>
          </w:p>
        </w:tc>
        <w:tc>
          <w:tcPr>
            <w:tcW w:w="992" w:type="dxa"/>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r>
              <w:rPr>
                <w:sz w:val="18"/>
                <w:szCs w:val="18"/>
              </w:rPr>
              <w:t>5</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2694"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contextualSpacing/>
              <w:jc w:val="center"/>
              <w:rPr>
                <w:sz w:val="18"/>
                <w:szCs w:val="18"/>
              </w:rPr>
            </w:pPr>
            <w:r>
              <w:rPr>
                <w:sz w:val="18"/>
                <w:szCs w:val="18"/>
              </w:rPr>
              <w:t>合 计</w:t>
            </w:r>
          </w:p>
        </w:tc>
        <w:tc>
          <w:tcPr>
            <w:tcW w:w="538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contextualSpacing/>
              <w:jc w:val="center"/>
              <w:rPr>
                <w:sz w:val="18"/>
                <w:szCs w:val="18"/>
              </w:rPr>
            </w:pPr>
          </w:p>
        </w:tc>
        <w:tc>
          <w:tcPr>
            <w:tcW w:w="992" w:type="dxa"/>
            <w:tcBorders>
              <w:top w:val="single" w:color="auto" w:sz="4" w:space="0"/>
              <w:left w:val="single" w:color="auto" w:sz="4" w:space="0"/>
              <w:bottom w:val="single" w:color="auto" w:sz="4" w:space="0"/>
              <w:right w:val="nil"/>
            </w:tcBorders>
            <w:noWrap w:val="0"/>
            <w:vAlign w:val="center"/>
          </w:tcPr>
          <w:p>
            <w:pPr>
              <w:widowControl/>
              <w:spacing w:line="240" w:lineRule="exact"/>
              <w:contextualSpacing/>
              <w:jc w:val="center"/>
              <w:rPr>
                <w:sz w:val="18"/>
                <w:szCs w:val="18"/>
              </w:rPr>
            </w:pPr>
            <w:r>
              <w:rPr>
                <w:sz w:val="18"/>
                <w:szCs w:val="18"/>
              </w:rPr>
              <w:t>795</w:t>
            </w:r>
          </w:p>
        </w:tc>
      </w:tr>
    </w:tbl>
    <w:p>
      <w:pPr>
        <w:spacing w:line="360" w:lineRule="auto"/>
        <w:ind w:firstLine="480" w:firstLineChars="200"/>
        <w:jc w:val="center"/>
        <w:rPr>
          <w:bCs/>
          <w:sz w:val="24"/>
        </w:rPr>
      </w:pPr>
    </w:p>
    <w:p>
      <w:pPr>
        <w:pStyle w:val="5"/>
        <w:spacing w:before="120" w:after="120"/>
        <w:rPr>
          <w:rFonts w:ascii="Times New Roman" w:hAnsi="Times New Roman" w:eastAsia="宋体"/>
          <w:b/>
        </w:rPr>
      </w:pPr>
      <w:bookmarkStart w:id="39" w:name="_Toc50707401"/>
      <w:bookmarkStart w:id="40" w:name="_Toc29062"/>
      <w:r>
        <w:rPr>
          <w:rFonts w:ascii="Times New Roman" w:hAnsi="Times New Roman" w:eastAsia="宋体"/>
          <w:b/>
        </w:rPr>
        <w:t>2.4生产工艺分析</w:t>
      </w:r>
      <w:bookmarkEnd w:id="39"/>
    </w:p>
    <w:bookmarkEnd w:id="35"/>
    <w:bookmarkEnd w:id="40"/>
    <w:p>
      <w:pPr>
        <w:pStyle w:val="6"/>
        <w:rPr>
          <w:rFonts w:hint="eastAsia"/>
        </w:rPr>
      </w:pPr>
      <w:bookmarkStart w:id="41" w:name="_Toc50707402"/>
      <w:r>
        <w:t>2.4.</w:t>
      </w:r>
      <w:r>
        <w:rPr>
          <w:rFonts w:hint="eastAsia"/>
        </w:rPr>
        <w:t>1</w:t>
      </w:r>
      <w:r>
        <w:rPr>
          <w:rFonts w:hint="eastAsia"/>
          <w:lang w:eastAsia="zh-CN"/>
        </w:rPr>
        <w:t>生产</w:t>
      </w:r>
      <w:r>
        <w:rPr>
          <w:rFonts w:hint="eastAsia"/>
        </w:rPr>
        <w:t>工艺过程简述</w:t>
      </w:r>
      <w:bookmarkEnd w:id="41"/>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2.4.1.1  氟橡胶相关试验</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氟橡胶相关试验包括关键共性技术研发条件及氟橡胶生产小试，以上试验均在特种氟橡胶试验厂房进行。</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 关键共性技术研发条件</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关键共性技术研发条件主要是通过新增分子设计软件、Aspen Plus化工流程模拟软件、平行反应釜等装置，用于对氟橡胶反应条件的筛选、测试。平行高压反应釜是专为高压合成反应条件进行条件的筛选而设置的，可用于各种催化反应、高温高压合成、超临界反应等多种反应模拟测试。</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项目增设4个1L的反应器（英国赫尔公司产品），每台配有独立的温度、转速等参数控制，采用内部磁力搅拌方式，并配排气阀、可置换气体和反应后放空。</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2）氟橡胶小试</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氟橡胶小试则是采用各种氟橡胶单体，通过前期积累的理论与试验经验，对-45℃级耐低温氟醚橡胶、宽温域全氟醚橡胶与-40℃级耐低温氟醚橡胶进行生产尝试，并通过试验过程获取更为完整的工艺参数及过程控制经验。</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 氟橡胶生产工艺原理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项目采用乳液聚合法生产氟橡胶。乳液聚合是指借助乳化剂的作用，在机械搅拌或振荡作用下，单体在水中形成乳液而进行的聚合。乳液聚合产物为胶乳，之后将胶乳破坏，经洗涤、干燥处理制得橡胶。</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在一定温度、压力、水、引发剂等条件下，偏氟乙烯、全氟丙烯与四氟乙烯等单体在高压釜中进行共聚得到乳液。整个过程主要分为链引发、链增长、链终止和链转移。</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链引发： </w:t>
      </w:r>
      <w:r>
        <w:rPr>
          <w:rFonts w:hint="eastAsia" w:ascii="Times New Roman" w:hAnsi="Times New Roman" w:eastAsia="宋体" w:cs="Times New Roman"/>
          <w:kern w:val="2"/>
          <w:sz w:val="24"/>
          <w:szCs w:val="24"/>
          <w:lang w:val="en-US" w:eastAsia="zh-CN" w:bidi="ar-SA"/>
        </w:rPr>
        <w:drawing>
          <wp:inline distT="0" distB="0" distL="0" distR="0">
            <wp:extent cx="600075" cy="203200"/>
            <wp:effectExtent l="0" t="0" r="952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a:stretch>
                      <a:fillRect/>
                    </a:stretch>
                  </pic:blipFill>
                  <pic:spPr>
                    <a:xfrm>
                      <a:off x="0" y="0"/>
                      <a:ext cx="600075" cy="203200"/>
                    </a:xfrm>
                    <a:prstGeom prst="rect">
                      <a:avLst/>
                    </a:prstGeom>
                    <a:noFill/>
                    <a:ln w="9525">
                      <a:noFill/>
                      <a:miter lim="800000"/>
                      <a:headEnd/>
                      <a:tailEnd/>
                    </a:ln>
                  </pic:spPr>
                </pic:pic>
              </a:graphicData>
            </a:graphic>
          </wp:inline>
        </w:drawing>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0" distR="0">
            <wp:extent cx="1265555" cy="203200"/>
            <wp:effectExtent l="0" t="0" r="1079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1265555" cy="203200"/>
                    </a:xfrm>
                    <a:prstGeom prst="rect">
                      <a:avLst/>
                    </a:prstGeom>
                    <a:noFill/>
                    <a:ln w="9525">
                      <a:noFill/>
                      <a:miter lim="800000"/>
                      <a:headEnd/>
                      <a:tailEnd/>
                    </a:ln>
                  </pic:spPr>
                </pic:pic>
              </a:graphicData>
            </a:graphic>
          </wp:inline>
        </w:drawing>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链增长： </w:t>
      </w:r>
      <w:r>
        <w:rPr>
          <w:rFonts w:hint="eastAsia" w:ascii="Times New Roman" w:hAnsi="Times New Roman" w:eastAsia="宋体" w:cs="Times New Roman"/>
          <w:kern w:val="2"/>
          <w:sz w:val="24"/>
          <w:szCs w:val="24"/>
          <w:lang w:val="en-US" w:eastAsia="zh-CN" w:bidi="ar-SA"/>
        </w:rPr>
        <w:drawing>
          <wp:inline distT="0" distB="0" distL="0" distR="0">
            <wp:extent cx="923925" cy="193675"/>
            <wp:effectExtent l="0" t="0" r="952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srcRect/>
                    <a:stretch>
                      <a:fillRect/>
                    </a:stretch>
                  </pic:blipFill>
                  <pic:spPr>
                    <a:xfrm>
                      <a:off x="0" y="0"/>
                      <a:ext cx="923925" cy="193675"/>
                    </a:xfrm>
                    <a:prstGeom prst="rect">
                      <a:avLst/>
                    </a:prstGeom>
                    <a:noFill/>
                    <a:ln w="9525">
                      <a:noFill/>
                      <a:miter lim="800000"/>
                      <a:headEnd/>
                      <a:tailEnd/>
                    </a:ln>
                  </pic:spPr>
                </pic:pic>
              </a:graphicData>
            </a:graphic>
          </wp:inline>
        </w:drawing>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链终止： </w:t>
      </w:r>
      <w:r>
        <w:rPr>
          <w:rFonts w:hint="eastAsia" w:ascii="Times New Roman" w:hAnsi="Times New Roman" w:eastAsia="宋体" w:cs="Times New Roman"/>
          <w:kern w:val="2"/>
          <w:sz w:val="24"/>
          <w:szCs w:val="24"/>
          <w:lang w:val="en-US" w:eastAsia="zh-CN" w:bidi="ar-SA"/>
        </w:rPr>
        <w:drawing>
          <wp:inline distT="0" distB="0" distL="0" distR="0">
            <wp:extent cx="923925" cy="184785"/>
            <wp:effectExtent l="0" t="0" r="952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1" cstate="print"/>
                    <a:srcRect/>
                    <a:stretch>
                      <a:fillRect/>
                    </a:stretch>
                  </pic:blipFill>
                  <pic:spPr>
                    <a:xfrm>
                      <a:off x="0" y="0"/>
                      <a:ext cx="923925" cy="184785"/>
                    </a:xfrm>
                    <a:prstGeom prst="rect">
                      <a:avLst/>
                    </a:prstGeom>
                    <a:noFill/>
                    <a:ln w="9525">
                      <a:noFill/>
                      <a:miter lim="800000"/>
                      <a:headEnd/>
                      <a:tailEnd/>
                    </a:ln>
                  </pic:spPr>
                </pic:pic>
              </a:graphicData>
            </a:graphic>
          </wp:inline>
        </w:drawing>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链转移： </w:t>
      </w:r>
      <w:r>
        <w:rPr>
          <w:rFonts w:hint="eastAsia" w:ascii="Times New Roman" w:hAnsi="Times New Roman" w:eastAsia="宋体" w:cs="Times New Roman"/>
          <w:kern w:val="2"/>
          <w:sz w:val="24"/>
          <w:szCs w:val="24"/>
          <w:lang w:val="en-US" w:eastAsia="zh-CN" w:bidi="ar-SA"/>
        </w:rPr>
        <w:drawing>
          <wp:inline distT="0" distB="0" distL="0" distR="0">
            <wp:extent cx="1108075" cy="175260"/>
            <wp:effectExtent l="0" t="0" r="15875"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12" cstate="print"/>
                    <a:srcRect/>
                    <a:stretch>
                      <a:fillRect/>
                    </a:stretch>
                  </pic:blipFill>
                  <pic:spPr>
                    <a:xfrm>
                      <a:off x="0" y="0"/>
                      <a:ext cx="1108075" cy="175260"/>
                    </a:xfrm>
                    <a:prstGeom prst="rect">
                      <a:avLst/>
                    </a:prstGeom>
                    <a:noFill/>
                    <a:ln w="9525">
                      <a:noFill/>
                      <a:miter lim="800000"/>
                      <a:headEnd/>
                      <a:tailEnd/>
                    </a:ln>
                  </pic:spPr>
                </pic:pic>
              </a:graphicData>
            </a:graphic>
          </wp:inline>
        </w:drawing>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式中，I、M、A、P分别为链引发剂、单体、链转移剂、聚合物；R·为链引发自由基；P·为链增长自由基；k为基本反应的反应常数。单体的聚合速度和生成聚合物的结构、分子量、分子量分布取决于基本反应。上述反应过程为连锁过程，时间很短；链增长和链终止是一个极重要的过程。在刚反应时，链终止较快，相等于原子、分子扩散速度。当胶乳浓度高时，扩散速度下降，链终止速度降低，链增长几率大，有利于生成高分子，反应速度也快；以链转移剂来调节分子量，不仅是得到希望分子量高低和分子量分布的氟橡胶，而且可改变端基结构，链转移程度对氟橡胶性能影响相当关键。</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项目二元胶和三元胶的化学反应方程式如下： </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二元胶：nCF2=CH2+mCF2=CFCF3→[(CF2CH2)a(CF2CFCF3)b]p</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三元胶：nCF2=CH2+mCF2=CFCF3+qCF2=CF2→[(CF2CH2)a(CF2CFCF3)b(CF2CF2)c]p</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在目前的技术条件下，以上反应控制及投加助剂后，项目使用单体发生自聚反应几率可忽略不计。</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4）关键共性技术研发条件的工艺流程及产污环节</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（1）关键共性技术研发条件工艺流程及产污环节介绍</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项目原料中的偏氟乙烯、全氟丙烯、四氟乙烯、PMVE、MOVE单体等通过厂区管道输送至特种氟橡胶试验厂房，在混合槽进行混合，混合后的有机氟单体经压缩机压缩后，输送至反应釜（材质316），同时，反应釜内需要加入很少量助剂（具体种类为全氟辛酸铵、过硫酸钾、偏重亚硫酸钠等助剂），通过控制不同的反应温度（0~200℃）、压力（＜5MPa）、单体配比、反应时间等，得到特定的氟橡胶。批次反应前，采用氮气对反应釜内废气进行置换，置换气（G1-1）经活性炭吸附处理，后经楼顶1根排气筒（15m）排放。未反应的单体返回混合槽进行下一轮反应。</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单批次反应得到的氟橡胶仅200~300g（4釜共计），经过凝聚（需投加氯化镁等絮凝剂）洗涤后，直接采用真空烘箱进行干燥得到氟橡胶产品，产品全部送检测中心进行指标检测或检验。洗涤废水（W1-1）送厂区现有综合废水站处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项目关键共性技术研发条件工艺流程及产污节点如下。</w:t>
      </w:r>
    </w:p>
    <w:p>
      <w:pPr>
        <w:spacing w:line="240" w:lineRule="auto"/>
        <w:ind w:firstLine="0" w:firstLineChars="0"/>
      </w:pPr>
      <w:r>
        <w:object>
          <v:shape id="_x0000_i1025" o:spt="75" type="#_x0000_t75" style="height:352pt;width:410.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pStyle w:val="146"/>
        <w:spacing w:beforeLines="0"/>
        <w:ind w:firstLine="400"/>
      </w:pPr>
      <w:r>
        <w:rPr>
          <w:rFonts w:hint="eastAsia"/>
        </w:rPr>
        <w:t>图</w:t>
      </w:r>
      <w:r>
        <w:rPr>
          <w:rFonts w:hint="eastAsia"/>
          <w:lang w:val="en-US" w:eastAsia="zh-CN"/>
        </w:rPr>
        <w:t>2.4.1.1</w:t>
      </w:r>
      <w:r>
        <w:rPr>
          <w:rFonts w:hint="eastAsia"/>
        </w:rPr>
        <w:t>-1       共性条件研究工艺流程及产物环节图</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（2）关键共性技术研发条件污染物产生及治理情况</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项目共性条件研究主要污染物见下表。</w:t>
      </w:r>
    </w:p>
    <w:p>
      <w:pPr>
        <w:pStyle w:val="146"/>
        <w:spacing w:before="31"/>
        <w:ind w:firstLine="552"/>
      </w:pPr>
      <w:r>
        <w:rPr>
          <w:rFonts w:hint="eastAsia"/>
        </w:rPr>
        <w:t>表</w:t>
      </w:r>
      <w:r>
        <w:rPr>
          <w:rFonts w:hint="eastAsia"/>
          <w:lang w:val="en-US" w:eastAsia="zh-CN"/>
        </w:rPr>
        <w:t>2.4.1.1</w:t>
      </w:r>
      <w:r>
        <w:t>-1</w:t>
      </w:r>
      <w:r>
        <w:rPr>
          <w:rFonts w:hint="eastAsia"/>
        </w:rPr>
        <w:t xml:space="preserve">    共性条件研究装置排污情况</w:t>
      </w:r>
    </w:p>
    <w:tbl>
      <w:tblPr>
        <w:tblStyle w:val="43"/>
        <w:tblW w:w="870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005"/>
        <w:gridCol w:w="1005"/>
        <w:gridCol w:w="791"/>
        <w:gridCol w:w="2369"/>
        <w:gridCol w:w="1737"/>
        <w:gridCol w:w="9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3" w:type="dxa"/>
            <w:shd w:val="clear" w:color="auto" w:fill="auto"/>
            <w:vAlign w:val="center"/>
          </w:tcPr>
          <w:p>
            <w:pPr>
              <w:pStyle w:val="140"/>
            </w:pPr>
            <w:r>
              <w:rPr>
                <w:rFonts w:hint="eastAsia"/>
              </w:rPr>
              <w:t>污染物类型</w:t>
            </w:r>
          </w:p>
        </w:tc>
        <w:tc>
          <w:tcPr>
            <w:tcW w:w="1005" w:type="dxa"/>
            <w:vAlign w:val="center"/>
          </w:tcPr>
          <w:p>
            <w:pPr>
              <w:pStyle w:val="140"/>
            </w:pPr>
            <w:r>
              <w:rPr>
                <w:rFonts w:hint="eastAsia"/>
              </w:rPr>
              <w:t>污染物产生装置</w:t>
            </w:r>
          </w:p>
        </w:tc>
        <w:tc>
          <w:tcPr>
            <w:tcW w:w="1005" w:type="dxa"/>
            <w:shd w:val="clear" w:color="auto" w:fill="auto"/>
            <w:vAlign w:val="center"/>
          </w:tcPr>
          <w:p>
            <w:pPr>
              <w:pStyle w:val="140"/>
            </w:pPr>
            <w:r>
              <w:rPr>
                <w:rFonts w:hint="eastAsia"/>
              </w:rPr>
              <w:t>污染物名称</w:t>
            </w:r>
          </w:p>
        </w:tc>
        <w:tc>
          <w:tcPr>
            <w:tcW w:w="791" w:type="dxa"/>
            <w:shd w:val="clear" w:color="auto" w:fill="auto"/>
            <w:vAlign w:val="center"/>
          </w:tcPr>
          <w:p>
            <w:pPr>
              <w:pStyle w:val="140"/>
            </w:pPr>
            <w:r>
              <w:rPr>
                <w:rFonts w:hint="eastAsia"/>
              </w:rPr>
              <w:t>代号</w:t>
            </w:r>
          </w:p>
        </w:tc>
        <w:tc>
          <w:tcPr>
            <w:tcW w:w="2369" w:type="dxa"/>
            <w:shd w:val="clear" w:color="auto" w:fill="auto"/>
            <w:vAlign w:val="center"/>
          </w:tcPr>
          <w:p>
            <w:pPr>
              <w:pStyle w:val="140"/>
            </w:pPr>
            <w:r>
              <w:rPr>
                <w:rFonts w:hint="eastAsia"/>
              </w:rPr>
              <w:t>污染物源强</w:t>
            </w:r>
          </w:p>
        </w:tc>
        <w:tc>
          <w:tcPr>
            <w:tcW w:w="1737" w:type="dxa"/>
            <w:shd w:val="clear" w:color="auto" w:fill="auto"/>
            <w:vAlign w:val="center"/>
          </w:tcPr>
          <w:p>
            <w:pPr>
              <w:pStyle w:val="140"/>
            </w:pPr>
            <w:r>
              <w:rPr>
                <w:rFonts w:hint="eastAsia"/>
              </w:rPr>
              <w:t>处理方式</w:t>
            </w:r>
          </w:p>
        </w:tc>
        <w:tc>
          <w:tcPr>
            <w:tcW w:w="948" w:type="dxa"/>
            <w:vAlign w:val="center"/>
          </w:tcPr>
          <w:p>
            <w:pPr>
              <w:pStyle w:val="140"/>
            </w:pPr>
            <w:r>
              <w:rPr>
                <w:rFonts w:hint="eastAsia"/>
              </w:rPr>
              <w:t>排放</w:t>
            </w:r>
          </w:p>
          <w:p>
            <w:pPr>
              <w:pStyle w:val="140"/>
            </w:pPr>
            <w:r>
              <w:rPr>
                <w:rFonts w:hint="eastAsia"/>
              </w:rPr>
              <w:t>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3" w:type="dxa"/>
            <w:shd w:val="clear" w:color="auto" w:fill="auto"/>
            <w:vAlign w:val="center"/>
          </w:tcPr>
          <w:p>
            <w:pPr>
              <w:pStyle w:val="140"/>
            </w:pPr>
            <w:r>
              <w:rPr>
                <w:rFonts w:hint="eastAsia"/>
              </w:rPr>
              <w:t>废气污染物</w:t>
            </w:r>
          </w:p>
        </w:tc>
        <w:tc>
          <w:tcPr>
            <w:tcW w:w="1005" w:type="dxa"/>
            <w:vAlign w:val="center"/>
          </w:tcPr>
          <w:p>
            <w:pPr>
              <w:pStyle w:val="140"/>
            </w:pPr>
            <w:r>
              <w:rPr>
                <w:rFonts w:hint="eastAsia"/>
              </w:rPr>
              <w:t>反应釜</w:t>
            </w:r>
          </w:p>
        </w:tc>
        <w:tc>
          <w:tcPr>
            <w:tcW w:w="1005" w:type="dxa"/>
            <w:shd w:val="clear" w:color="auto" w:fill="auto"/>
            <w:vAlign w:val="center"/>
          </w:tcPr>
          <w:p>
            <w:pPr>
              <w:pStyle w:val="140"/>
            </w:pPr>
            <w:r>
              <w:rPr>
                <w:rFonts w:hint="eastAsia"/>
              </w:rPr>
              <w:t>置换气</w:t>
            </w:r>
          </w:p>
        </w:tc>
        <w:tc>
          <w:tcPr>
            <w:tcW w:w="791" w:type="dxa"/>
            <w:shd w:val="clear" w:color="auto" w:fill="auto"/>
            <w:vAlign w:val="center"/>
          </w:tcPr>
          <w:p>
            <w:pPr>
              <w:pStyle w:val="140"/>
            </w:pPr>
            <w:r>
              <w:rPr>
                <w:rFonts w:hint="eastAsia"/>
              </w:rPr>
              <w:t>G</w:t>
            </w:r>
            <w:r>
              <w:rPr>
                <w:rFonts w:hint="eastAsia"/>
                <w:vertAlign w:val="subscript"/>
              </w:rPr>
              <w:t>1-1</w:t>
            </w:r>
          </w:p>
        </w:tc>
        <w:tc>
          <w:tcPr>
            <w:tcW w:w="2369" w:type="dxa"/>
            <w:shd w:val="clear" w:color="auto" w:fill="auto"/>
            <w:vAlign w:val="center"/>
          </w:tcPr>
          <w:p>
            <w:pPr>
              <w:pStyle w:val="140"/>
            </w:pPr>
            <w:r>
              <w:rPr>
                <w:rFonts w:hint="eastAsia"/>
              </w:rPr>
              <w:t>产生量：0.5m</w:t>
            </w:r>
            <w:r>
              <w:rPr>
                <w:rFonts w:hint="eastAsia"/>
                <w:vertAlign w:val="superscript"/>
              </w:rPr>
              <w:t>3</w:t>
            </w:r>
            <w:r>
              <w:rPr>
                <w:rFonts w:hint="eastAsia"/>
              </w:rPr>
              <w:t>/h</w:t>
            </w:r>
          </w:p>
          <w:p>
            <w:pPr>
              <w:pStyle w:val="140"/>
            </w:pPr>
            <w:r>
              <w:rPr>
                <w:rFonts w:hint="eastAsia"/>
              </w:rPr>
              <w:t>有机氟单体:4mg/m</w:t>
            </w:r>
            <w:r>
              <w:rPr>
                <w:rFonts w:hint="eastAsia"/>
                <w:vertAlign w:val="superscript"/>
              </w:rPr>
              <w:t>3</w:t>
            </w:r>
            <w:r>
              <w:rPr>
                <w:rFonts w:hint="eastAsia"/>
              </w:rPr>
              <w:t>，0.000002kg/h</w:t>
            </w:r>
          </w:p>
        </w:tc>
        <w:tc>
          <w:tcPr>
            <w:tcW w:w="1737" w:type="dxa"/>
            <w:shd w:val="clear" w:color="auto" w:fill="auto"/>
            <w:vAlign w:val="center"/>
          </w:tcPr>
          <w:p>
            <w:pPr>
              <w:pStyle w:val="140"/>
            </w:pPr>
            <w:r>
              <w:rPr>
                <w:rFonts w:hint="eastAsia"/>
              </w:rPr>
              <w:t>活性炭吸附后经15m排气筒直排</w:t>
            </w:r>
          </w:p>
        </w:tc>
        <w:tc>
          <w:tcPr>
            <w:tcW w:w="948" w:type="dxa"/>
            <w:vAlign w:val="center"/>
          </w:tcPr>
          <w:p>
            <w:pPr>
              <w:pStyle w:val="140"/>
            </w:pPr>
            <w:r>
              <w:rPr>
                <w:rFonts w:hint="eastAsia"/>
              </w:rPr>
              <w:t>5h/a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0" w:hRule="atLeast"/>
        </w:trPr>
        <w:tc>
          <w:tcPr>
            <w:tcW w:w="853" w:type="dxa"/>
            <w:shd w:val="clear" w:color="auto" w:fill="auto"/>
            <w:vAlign w:val="center"/>
          </w:tcPr>
          <w:p>
            <w:pPr>
              <w:pStyle w:val="140"/>
            </w:pPr>
            <w:r>
              <w:rPr>
                <w:rFonts w:hint="eastAsia"/>
              </w:rPr>
              <w:t>废水污染物</w:t>
            </w:r>
          </w:p>
        </w:tc>
        <w:tc>
          <w:tcPr>
            <w:tcW w:w="1005" w:type="dxa"/>
            <w:vAlign w:val="center"/>
          </w:tcPr>
          <w:p>
            <w:pPr>
              <w:pStyle w:val="140"/>
            </w:pPr>
            <w:r>
              <w:rPr>
                <w:rFonts w:hint="eastAsia"/>
              </w:rPr>
              <w:t>洗涤槽</w:t>
            </w:r>
          </w:p>
        </w:tc>
        <w:tc>
          <w:tcPr>
            <w:tcW w:w="1005" w:type="dxa"/>
            <w:shd w:val="clear" w:color="auto" w:fill="auto"/>
            <w:vAlign w:val="center"/>
          </w:tcPr>
          <w:p>
            <w:pPr>
              <w:pStyle w:val="140"/>
            </w:pPr>
            <w:r>
              <w:rPr>
                <w:rFonts w:hint="eastAsia"/>
              </w:rPr>
              <w:t>洗涤废水</w:t>
            </w:r>
          </w:p>
        </w:tc>
        <w:tc>
          <w:tcPr>
            <w:tcW w:w="791" w:type="dxa"/>
            <w:shd w:val="clear" w:color="auto" w:fill="auto"/>
            <w:vAlign w:val="center"/>
          </w:tcPr>
          <w:p>
            <w:pPr>
              <w:pStyle w:val="140"/>
            </w:pPr>
            <w:r>
              <w:rPr>
                <w:rFonts w:hint="eastAsia"/>
              </w:rPr>
              <w:t>W</w:t>
            </w:r>
            <w:r>
              <w:rPr>
                <w:rFonts w:hint="eastAsia"/>
                <w:vertAlign w:val="subscript"/>
              </w:rPr>
              <w:t>1-1</w:t>
            </w:r>
          </w:p>
        </w:tc>
        <w:tc>
          <w:tcPr>
            <w:tcW w:w="2369" w:type="dxa"/>
            <w:shd w:val="clear" w:color="auto" w:fill="auto"/>
            <w:vAlign w:val="center"/>
          </w:tcPr>
          <w:p>
            <w:pPr>
              <w:pStyle w:val="140"/>
              <w:rPr>
                <w:kern w:val="0"/>
              </w:rPr>
            </w:pPr>
            <w:r>
              <w:rPr>
                <w:rFonts w:hint="eastAsia"/>
                <w:spacing w:val="20"/>
              </w:rPr>
              <w:t>废水量:</w:t>
            </w:r>
            <w:r>
              <w:t>0.064</w:t>
            </w:r>
            <w:r>
              <w:rPr>
                <w:rFonts w:hint="eastAsia"/>
              </w:rPr>
              <w:t>m</w:t>
            </w:r>
            <w:r>
              <w:rPr>
                <w:vertAlign w:val="superscript"/>
              </w:rPr>
              <w:t>3</w:t>
            </w:r>
            <w:r>
              <w:rPr>
                <w:rFonts w:hint="eastAsia"/>
              </w:rPr>
              <w:t>/a</w:t>
            </w:r>
            <w:r>
              <w:rPr>
                <w:rFonts w:hint="eastAsia"/>
                <w:kern w:val="0"/>
              </w:rPr>
              <w:t>，</w:t>
            </w:r>
          </w:p>
          <w:p>
            <w:pPr>
              <w:pStyle w:val="140"/>
            </w:pPr>
            <w:r>
              <w:rPr>
                <w:rFonts w:hint="eastAsia"/>
              </w:rPr>
              <w:t>CODcr &lt;100mg/L</w:t>
            </w:r>
          </w:p>
          <w:p>
            <w:pPr>
              <w:pStyle w:val="140"/>
            </w:pPr>
            <w:r>
              <w:rPr>
                <w:rFonts w:hint="eastAsia"/>
              </w:rPr>
              <w:t>氟化物 &lt;10mg/L</w:t>
            </w:r>
          </w:p>
          <w:p>
            <w:pPr>
              <w:pStyle w:val="140"/>
              <w:rPr>
                <w:highlight w:val="yellow"/>
              </w:rPr>
            </w:pPr>
            <w:r>
              <w:rPr>
                <w:rFonts w:hint="eastAsia"/>
              </w:rPr>
              <w:t>SS: &lt;30mg/L</w:t>
            </w:r>
          </w:p>
        </w:tc>
        <w:tc>
          <w:tcPr>
            <w:tcW w:w="1737" w:type="dxa"/>
            <w:shd w:val="clear" w:color="auto" w:fill="auto"/>
            <w:vAlign w:val="center"/>
          </w:tcPr>
          <w:p>
            <w:pPr>
              <w:pStyle w:val="140"/>
              <w:rPr>
                <w:highlight w:val="yellow"/>
              </w:rPr>
            </w:pPr>
            <w:r>
              <w:rPr>
                <w:rFonts w:hint="eastAsia"/>
              </w:rPr>
              <w:t>送厂区现有综合废水站处理</w:t>
            </w:r>
          </w:p>
        </w:tc>
        <w:tc>
          <w:tcPr>
            <w:tcW w:w="948" w:type="dxa"/>
            <w:vAlign w:val="center"/>
          </w:tcPr>
          <w:p>
            <w:pPr>
              <w:pStyle w:val="140"/>
              <w:rPr>
                <w:spacing w:val="20"/>
              </w:rPr>
            </w:pPr>
            <w:r>
              <w:rPr>
                <w:rFonts w:hint="eastAsia"/>
                <w:spacing w:val="20"/>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3" w:type="dxa"/>
            <w:shd w:val="clear" w:color="auto" w:fill="auto"/>
            <w:vAlign w:val="center"/>
          </w:tcPr>
          <w:p>
            <w:pPr>
              <w:pStyle w:val="140"/>
            </w:pPr>
            <w:r>
              <w:rPr>
                <w:rFonts w:hint="eastAsia"/>
              </w:rPr>
              <w:t>固体废物</w:t>
            </w:r>
          </w:p>
        </w:tc>
        <w:tc>
          <w:tcPr>
            <w:tcW w:w="1005" w:type="dxa"/>
            <w:vAlign w:val="center"/>
          </w:tcPr>
          <w:p>
            <w:pPr>
              <w:pStyle w:val="140"/>
            </w:pPr>
            <w:r>
              <w:rPr>
                <w:rFonts w:hint="eastAsia"/>
              </w:rPr>
              <w:t>压缩机</w:t>
            </w:r>
          </w:p>
        </w:tc>
        <w:tc>
          <w:tcPr>
            <w:tcW w:w="1005" w:type="dxa"/>
            <w:shd w:val="clear" w:color="auto" w:fill="auto"/>
            <w:vAlign w:val="center"/>
          </w:tcPr>
          <w:p>
            <w:pPr>
              <w:pStyle w:val="140"/>
            </w:pPr>
            <w:r>
              <w:rPr>
                <w:rFonts w:hint="eastAsia"/>
              </w:rPr>
              <w:t>废油</w:t>
            </w:r>
          </w:p>
        </w:tc>
        <w:tc>
          <w:tcPr>
            <w:tcW w:w="791" w:type="dxa"/>
            <w:shd w:val="clear" w:color="auto" w:fill="auto"/>
            <w:vAlign w:val="center"/>
          </w:tcPr>
          <w:p>
            <w:pPr>
              <w:pStyle w:val="140"/>
            </w:pPr>
            <w:r>
              <w:rPr>
                <w:rFonts w:hint="eastAsia"/>
              </w:rPr>
              <w:t>S</w:t>
            </w:r>
            <w:r>
              <w:rPr>
                <w:rFonts w:hint="eastAsia"/>
                <w:vertAlign w:val="subscript"/>
              </w:rPr>
              <w:t>1-1</w:t>
            </w:r>
          </w:p>
        </w:tc>
        <w:tc>
          <w:tcPr>
            <w:tcW w:w="2369" w:type="dxa"/>
            <w:shd w:val="clear" w:color="auto" w:fill="auto"/>
            <w:vAlign w:val="center"/>
          </w:tcPr>
          <w:p>
            <w:pPr>
              <w:pStyle w:val="140"/>
              <w:rPr>
                <w:spacing w:val="20"/>
              </w:rPr>
            </w:pPr>
            <w:r>
              <w:rPr>
                <w:rFonts w:hint="eastAsia"/>
                <w:spacing w:val="20"/>
              </w:rPr>
              <w:t>产生量：0.001t/a</w:t>
            </w:r>
          </w:p>
        </w:tc>
        <w:tc>
          <w:tcPr>
            <w:tcW w:w="1737" w:type="dxa"/>
            <w:shd w:val="clear" w:color="auto" w:fill="auto"/>
            <w:vAlign w:val="center"/>
          </w:tcPr>
          <w:p>
            <w:pPr>
              <w:pStyle w:val="140"/>
            </w:pPr>
            <w:r>
              <w:rPr>
                <w:rFonts w:hint="eastAsia"/>
              </w:rPr>
              <w:t>外委有资质的危废处置单位处置</w:t>
            </w:r>
          </w:p>
        </w:tc>
        <w:tc>
          <w:tcPr>
            <w:tcW w:w="948" w:type="dxa"/>
            <w:vAlign w:val="center"/>
          </w:tcPr>
          <w:p>
            <w:pPr>
              <w:pStyle w:val="140"/>
              <w:rPr>
                <w:spacing w:val="20"/>
              </w:rPr>
            </w:pPr>
            <w:r>
              <w:rPr>
                <w:rFonts w:hint="eastAsia"/>
                <w:spacing w:val="20"/>
              </w:rPr>
              <w:t>/</w:t>
            </w:r>
          </w:p>
        </w:tc>
      </w:tr>
    </w:tbl>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5）氟橡胶小试工艺流程及产污节点</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氟橡胶试验主要包括以下工艺流程：单体收集、配料→聚合反应→凝聚、洗涤→离心、挤压、干燥→切片→送检。</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（1）配料与聚合工序</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首先，通过真空泵在聚合釜中进行抽取真空后，再用精氮置换排氧；反应釜置换气（G1-2）经真空泵抽出，经活性炭吸附处理，后经一根15m排气筒外排。</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机氟单体（含偏氟乙烯、全氟丙烯、四氟乙烯、PMVE、MOVE单体等）通过管道输送至本装置，按一定配比经混配，混配好的单体由压缩机加入已加好反应助剂的反应釜，反应为间歇反应，经升温、控压，单体（气态）在反应釜发生聚合反应，生产氟橡胶颗粒（固态），氟橡胶颗粒分散在有表面活性剂的水相中形成胶乳。每批反应后，胶乳放置胶乳槽储存供后处理工序使用，未反应完的单体由回收压缩机回收继续下一轮反应。通过气体成分检测可确定各类单体组分，根据目标产物补加各类单体原料。</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在此反应中，部分引发剂和链转移剂会进入产品，助剂将进入聚合水中，待洗涤工序后被一道洗出。</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（2）凝聚、洗涤工序</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放置于乳槽储的胶乳需持续搅拌，并冷却。冷却后的乳化液转移至凝聚桶，并向凝聚桶中加入凝结剂，同时开始搅拌，氟橡胶由小颗粒凝聚为大颗粒。经凝结的聚合物浆料从凝聚桶自流至洗涤桶。在洗涤桶内经软水对氟橡胶进行洗涤，去除各类助剂。洗涤水（W1-2）送至厂区现有综合废水站处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（3）干燥、切片工序</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进入离心分离机的聚合物乳液经水下挤压，进一步挤压出洗涤废水，水下挤压废水（W1-3）排至厂区现有综合废水站处理。经挤压后的氟橡胶送至干燥机，在170℃条件下进行干燥处理，由于挤压后的氟橡胶为片状，干燥无粉尘产生，干燥器外排。经干燥后的氟橡胶经切片后，送至检测部门检验。</w:t>
      </w:r>
    </w:p>
    <w:p>
      <w:pPr>
        <w:spacing w:line="240" w:lineRule="auto"/>
        <w:ind w:firstLine="560"/>
      </w:pPr>
      <w:r>
        <w:object>
          <v:shape id="_x0000_i1026" o:spt="75" type="#_x0000_t75" style="height:385.5pt;width:361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pPr>
        <w:pStyle w:val="146"/>
        <w:spacing w:beforeLines="0"/>
        <w:ind w:firstLine="400"/>
      </w:pPr>
      <w:r>
        <w:rPr>
          <w:rFonts w:hint="eastAsia"/>
        </w:rPr>
        <w:t>图3</w:t>
      </w:r>
      <w:r>
        <w:t>.3.1-2</w:t>
      </w:r>
      <w:r>
        <w:rPr>
          <w:rFonts w:hint="eastAsia"/>
        </w:rPr>
        <w:t xml:space="preserve">      氟橡胶小试工艺流程及产污节点图</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（4）氟橡胶小试装置污染物产生及治理措施</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氟橡胶小试装置排污状况见下表。</w:t>
      </w:r>
    </w:p>
    <w:p>
      <w:pPr>
        <w:pStyle w:val="146"/>
        <w:spacing w:before="31"/>
        <w:ind w:firstLine="420"/>
      </w:pPr>
      <w:r>
        <w:rPr>
          <w:rFonts w:hint="eastAsia"/>
        </w:rPr>
        <w:t>表3</w:t>
      </w:r>
      <w:r>
        <w:t>.3.1-2</w:t>
      </w:r>
      <w:r>
        <w:rPr>
          <w:rFonts w:hint="eastAsia"/>
        </w:rPr>
        <w:t xml:space="preserve">      氟橡胶小试装置排污情况</w:t>
      </w:r>
    </w:p>
    <w:tbl>
      <w:tblPr>
        <w:tblStyle w:val="43"/>
        <w:tblW w:w="89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037"/>
        <w:gridCol w:w="989"/>
        <w:gridCol w:w="706"/>
        <w:gridCol w:w="2115"/>
        <w:gridCol w:w="2115"/>
        <w:gridCol w:w="7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68" w:type="dxa"/>
            <w:shd w:val="clear" w:color="auto" w:fill="auto"/>
            <w:vAlign w:val="center"/>
          </w:tcPr>
          <w:p>
            <w:pPr>
              <w:pStyle w:val="140"/>
            </w:pPr>
            <w:r>
              <w:rPr>
                <w:rFonts w:hint="eastAsia"/>
              </w:rPr>
              <w:t>污染物类型</w:t>
            </w:r>
          </w:p>
        </w:tc>
        <w:tc>
          <w:tcPr>
            <w:tcW w:w="1037" w:type="dxa"/>
            <w:vAlign w:val="center"/>
          </w:tcPr>
          <w:p>
            <w:pPr>
              <w:pStyle w:val="140"/>
            </w:pPr>
            <w:r>
              <w:rPr>
                <w:rFonts w:hint="eastAsia"/>
              </w:rPr>
              <w:t>污染物产生装置</w:t>
            </w:r>
          </w:p>
        </w:tc>
        <w:tc>
          <w:tcPr>
            <w:tcW w:w="989" w:type="dxa"/>
            <w:shd w:val="clear" w:color="auto" w:fill="auto"/>
            <w:vAlign w:val="center"/>
          </w:tcPr>
          <w:p>
            <w:pPr>
              <w:pStyle w:val="140"/>
            </w:pPr>
            <w:r>
              <w:rPr>
                <w:rFonts w:hint="eastAsia"/>
              </w:rPr>
              <w:t>污染物名称</w:t>
            </w:r>
          </w:p>
        </w:tc>
        <w:tc>
          <w:tcPr>
            <w:tcW w:w="706" w:type="dxa"/>
            <w:shd w:val="clear" w:color="auto" w:fill="auto"/>
            <w:vAlign w:val="center"/>
          </w:tcPr>
          <w:p>
            <w:pPr>
              <w:pStyle w:val="140"/>
            </w:pPr>
            <w:r>
              <w:rPr>
                <w:rFonts w:hint="eastAsia"/>
              </w:rPr>
              <w:t>代号</w:t>
            </w:r>
          </w:p>
        </w:tc>
        <w:tc>
          <w:tcPr>
            <w:tcW w:w="2115" w:type="dxa"/>
            <w:shd w:val="clear" w:color="auto" w:fill="auto"/>
            <w:vAlign w:val="center"/>
          </w:tcPr>
          <w:p>
            <w:pPr>
              <w:pStyle w:val="140"/>
            </w:pPr>
            <w:r>
              <w:rPr>
                <w:rFonts w:hint="eastAsia"/>
              </w:rPr>
              <w:t>污染物源强</w:t>
            </w:r>
          </w:p>
        </w:tc>
        <w:tc>
          <w:tcPr>
            <w:tcW w:w="2115" w:type="dxa"/>
            <w:shd w:val="clear" w:color="auto" w:fill="auto"/>
            <w:vAlign w:val="center"/>
          </w:tcPr>
          <w:p>
            <w:pPr>
              <w:pStyle w:val="140"/>
            </w:pPr>
            <w:r>
              <w:rPr>
                <w:rFonts w:hint="eastAsia"/>
              </w:rPr>
              <w:t>处理方式</w:t>
            </w:r>
          </w:p>
        </w:tc>
        <w:tc>
          <w:tcPr>
            <w:tcW w:w="710" w:type="dxa"/>
            <w:vAlign w:val="center"/>
          </w:tcPr>
          <w:p>
            <w:pPr>
              <w:pStyle w:val="140"/>
            </w:pPr>
            <w:r>
              <w:rPr>
                <w:rFonts w:hint="eastAsia"/>
              </w:rPr>
              <w:t>排放时间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68" w:type="dxa"/>
            <w:shd w:val="clear" w:color="auto" w:fill="auto"/>
            <w:vAlign w:val="center"/>
          </w:tcPr>
          <w:p>
            <w:pPr>
              <w:pStyle w:val="140"/>
            </w:pPr>
            <w:r>
              <w:rPr>
                <w:rFonts w:hint="eastAsia"/>
              </w:rPr>
              <w:t>废气污染物</w:t>
            </w:r>
          </w:p>
        </w:tc>
        <w:tc>
          <w:tcPr>
            <w:tcW w:w="1037" w:type="dxa"/>
            <w:vAlign w:val="center"/>
          </w:tcPr>
          <w:p>
            <w:pPr>
              <w:pStyle w:val="140"/>
            </w:pPr>
            <w:r>
              <w:rPr>
                <w:rFonts w:hint="eastAsia"/>
              </w:rPr>
              <w:t>反应釜</w:t>
            </w:r>
          </w:p>
        </w:tc>
        <w:tc>
          <w:tcPr>
            <w:tcW w:w="989" w:type="dxa"/>
            <w:shd w:val="clear" w:color="auto" w:fill="auto"/>
            <w:vAlign w:val="center"/>
          </w:tcPr>
          <w:p>
            <w:pPr>
              <w:pStyle w:val="140"/>
            </w:pPr>
            <w:r>
              <w:rPr>
                <w:rFonts w:hint="eastAsia"/>
              </w:rPr>
              <w:t>置换气</w:t>
            </w:r>
          </w:p>
        </w:tc>
        <w:tc>
          <w:tcPr>
            <w:tcW w:w="706" w:type="dxa"/>
            <w:shd w:val="clear" w:color="auto" w:fill="auto"/>
            <w:vAlign w:val="center"/>
          </w:tcPr>
          <w:p>
            <w:pPr>
              <w:pStyle w:val="140"/>
            </w:pPr>
            <w:r>
              <w:rPr>
                <w:rFonts w:hint="eastAsia"/>
              </w:rPr>
              <w:t>G</w:t>
            </w:r>
            <w:r>
              <w:rPr>
                <w:rFonts w:hint="eastAsia"/>
                <w:vertAlign w:val="subscript"/>
              </w:rPr>
              <w:t>1-2</w:t>
            </w:r>
          </w:p>
        </w:tc>
        <w:tc>
          <w:tcPr>
            <w:tcW w:w="2115" w:type="dxa"/>
            <w:shd w:val="clear" w:color="auto" w:fill="auto"/>
            <w:vAlign w:val="center"/>
          </w:tcPr>
          <w:p>
            <w:pPr>
              <w:pStyle w:val="140"/>
            </w:pPr>
            <w:r>
              <w:rPr>
                <w:rFonts w:hint="eastAsia"/>
              </w:rPr>
              <w:t>产生量：10m</w:t>
            </w:r>
            <w:r>
              <w:rPr>
                <w:rFonts w:hint="eastAsia"/>
                <w:vertAlign w:val="superscript"/>
              </w:rPr>
              <w:t>3</w:t>
            </w:r>
            <w:r>
              <w:rPr>
                <w:rFonts w:hint="eastAsia"/>
              </w:rPr>
              <w:t>/h</w:t>
            </w:r>
          </w:p>
          <w:p>
            <w:pPr>
              <w:pStyle w:val="140"/>
            </w:pPr>
            <w:r>
              <w:rPr>
                <w:rFonts w:hint="eastAsia"/>
              </w:rPr>
              <w:t>有机氟单体:7mg/m</w:t>
            </w:r>
            <w:r>
              <w:rPr>
                <w:rFonts w:hint="eastAsia"/>
                <w:vertAlign w:val="superscript"/>
              </w:rPr>
              <w:t>3</w:t>
            </w:r>
            <w:r>
              <w:rPr>
                <w:rFonts w:hint="eastAsia"/>
              </w:rPr>
              <w:t>，0.00007kg/h</w:t>
            </w:r>
          </w:p>
        </w:tc>
        <w:tc>
          <w:tcPr>
            <w:tcW w:w="2115" w:type="dxa"/>
            <w:shd w:val="clear" w:color="auto" w:fill="auto"/>
            <w:vAlign w:val="center"/>
          </w:tcPr>
          <w:p>
            <w:pPr>
              <w:pStyle w:val="140"/>
            </w:pPr>
            <w:r>
              <w:rPr>
                <w:rFonts w:hint="eastAsia"/>
              </w:rPr>
              <w:t>活性炭吸附后经15m排气筒直排</w:t>
            </w:r>
          </w:p>
        </w:tc>
        <w:tc>
          <w:tcPr>
            <w:tcW w:w="710" w:type="dxa"/>
            <w:vAlign w:val="center"/>
          </w:tcPr>
          <w:p>
            <w:pPr>
              <w:pStyle w:val="140"/>
            </w:pPr>
            <w:r>
              <w:rPr>
                <w:rFonts w:hint="eastAsia"/>
              </w:rPr>
              <w:t>15h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0" w:hRule="atLeast"/>
        </w:trPr>
        <w:tc>
          <w:tcPr>
            <w:tcW w:w="1268" w:type="dxa"/>
            <w:vMerge w:val="restart"/>
            <w:shd w:val="clear" w:color="auto" w:fill="auto"/>
            <w:vAlign w:val="center"/>
          </w:tcPr>
          <w:p>
            <w:pPr>
              <w:pStyle w:val="140"/>
            </w:pPr>
            <w:r>
              <w:rPr>
                <w:rFonts w:hint="eastAsia"/>
              </w:rPr>
              <w:t>废水污染物</w:t>
            </w:r>
          </w:p>
        </w:tc>
        <w:tc>
          <w:tcPr>
            <w:tcW w:w="1037" w:type="dxa"/>
            <w:vAlign w:val="center"/>
          </w:tcPr>
          <w:p>
            <w:pPr>
              <w:pStyle w:val="140"/>
            </w:pPr>
            <w:r>
              <w:rPr>
                <w:rFonts w:hint="eastAsia"/>
              </w:rPr>
              <w:t>洗涤釜</w:t>
            </w:r>
          </w:p>
        </w:tc>
        <w:tc>
          <w:tcPr>
            <w:tcW w:w="989" w:type="dxa"/>
            <w:shd w:val="clear" w:color="auto" w:fill="auto"/>
            <w:vAlign w:val="center"/>
          </w:tcPr>
          <w:p>
            <w:pPr>
              <w:pStyle w:val="140"/>
            </w:pPr>
            <w:r>
              <w:rPr>
                <w:rFonts w:hint="eastAsia"/>
              </w:rPr>
              <w:t>洗涤废水</w:t>
            </w:r>
          </w:p>
        </w:tc>
        <w:tc>
          <w:tcPr>
            <w:tcW w:w="706" w:type="dxa"/>
            <w:shd w:val="clear" w:color="auto" w:fill="auto"/>
            <w:vAlign w:val="center"/>
          </w:tcPr>
          <w:p>
            <w:pPr>
              <w:pStyle w:val="140"/>
            </w:pPr>
            <w:r>
              <w:rPr>
                <w:rFonts w:hint="eastAsia"/>
              </w:rPr>
              <w:t>W</w:t>
            </w:r>
            <w:r>
              <w:rPr>
                <w:rFonts w:hint="eastAsia"/>
                <w:vertAlign w:val="subscript"/>
              </w:rPr>
              <w:t>1-2</w:t>
            </w:r>
          </w:p>
        </w:tc>
        <w:tc>
          <w:tcPr>
            <w:tcW w:w="2115" w:type="dxa"/>
            <w:shd w:val="clear" w:color="auto" w:fill="auto"/>
            <w:vAlign w:val="center"/>
          </w:tcPr>
          <w:p>
            <w:pPr>
              <w:pStyle w:val="140"/>
            </w:pPr>
            <w:r>
              <w:rPr>
                <w:rFonts w:hint="eastAsia"/>
              </w:rPr>
              <w:t>废水量:5m</w:t>
            </w:r>
            <w:r>
              <w:rPr>
                <w:rFonts w:hint="eastAsia"/>
                <w:vertAlign w:val="superscript"/>
              </w:rPr>
              <w:t>3</w:t>
            </w:r>
            <w:r>
              <w:rPr>
                <w:rFonts w:hint="eastAsia"/>
              </w:rPr>
              <w:t>/a，</w:t>
            </w:r>
          </w:p>
          <w:p>
            <w:pPr>
              <w:pStyle w:val="140"/>
            </w:pPr>
            <w:r>
              <w:rPr>
                <w:rFonts w:hint="eastAsia"/>
              </w:rPr>
              <w:t>CODcr &lt;100mg/L</w:t>
            </w:r>
          </w:p>
          <w:p>
            <w:pPr>
              <w:pStyle w:val="140"/>
            </w:pPr>
            <w:r>
              <w:rPr>
                <w:rFonts w:hint="eastAsia"/>
              </w:rPr>
              <w:t>氟化物 &lt;10mg/L</w:t>
            </w:r>
          </w:p>
          <w:p>
            <w:pPr>
              <w:pStyle w:val="140"/>
              <w:rPr>
                <w:highlight w:val="yellow"/>
              </w:rPr>
            </w:pPr>
            <w:r>
              <w:rPr>
                <w:rFonts w:hint="eastAsia"/>
              </w:rPr>
              <w:t>SS: &lt;30mg/L</w:t>
            </w:r>
          </w:p>
        </w:tc>
        <w:tc>
          <w:tcPr>
            <w:tcW w:w="2115" w:type="dxa"/>
            <w:shd w:val="clear" w:color="auto" w:fill="auto"/>
            <w:vAlign w:val="center"/>
          </w:tcPr>
          <w:p>
            <w:pPr>
              <w:pStyle w:val="140"/>
              <w:rPr>
                <w:highlight w:val="yellow"/>
              </w:rPr>
            </w:pPr>
            <w:r>
              <w:rPr>
                <w:rFonts w:hint="eastAsia"/>
              </w:rPr>
              <w:t>送厂区现有综合废水站处理</w:t>
            </w:r>
          </w:p>
        </w:tc>
        <w:tc>
          <w:tcPr>
            <w:tcW w:w="710" w:type="dxa"/>
            <w:vAlign w:val="center"/>
          </w:tcPr>
          <w:p>
            <w:pPr>
              <w:pStyle w:val="140"/>
            </w:pPr>
            <w:r>
              <w:rPr>
                <w:rFonts w:hint="eastAsia"/>
              </w:rPr>
              <w:t>30d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68" w:type="dxa"/>
            <w:vMerge w:val="continue"/>
            <w:shd w:val="clear" w:color="auto" w:fill="auto"/>
            <w:vAlign w:val="center"/>
          </w:tcPr>
          <w:p>
            <w:pPr>
              <w:pStyle w:val="140"/>
            </w:pPr>
          </w:p>
        </w:tc>
        <w:tc>
          <w:tcPr>
            <w:tcW w:w="1037" w:type="dxa"/>
            <w:vAlign w:val="center"/>
          </w:tcPr>
          <w:p>
            <w:pPr>
              <w:pStyle w:val="140"/>
            </w:pPr>
            <w:r>
              <w:rPr>
                <w:rFonts w:hint="eastAsia"/>
              </w:rPr>
              <w:t>水下挤压机</w:t>
            </w:r>
          </w:p>
        </w:tc>
        <w:tc>
          <w:tcPr>
            <w:tcW w:w="989" w:type="dxa"/>
            <w:shd w:val="clear" w:color="auto" w:fill="auto"/>
            <w:vAlign w:val="center"/>
          </w:tcPr>
          <w:p>
            <w:pPr>
              <w:pStyle w:val="140"/>
            </w:pPr>
            <w:r>
              <w:rPr>
                <w:rFonts w:hint="eastAsia"/>
              </w:rPr>
              <w:t>水下挤压</w:t>
            </w:r>
          </w:p>
          <w:p>
            <w:pPr>
              <w:pStyle w:val="140"/>
            </w:pPr>
            <w:r>
              <w:rPr>
                <w:rFonts w:hint="eastAsia"/>
              </w:rPr>
              <w:t>废水</w:t>
            </w:r>
          </w:p>
        </w:tc>
        <w:tc>
          <w:tcPr>
            <w:tcW w:w="706" w:type="dxa"/>
            <w:shd w:val="clear" w:color="auto" w:fill="auto"/>
            <w:vAlign w:val="center"/>
          </w:tcPr>
          <w:p>
            <w:pPr>
              <w:pStyle w:val="140"/>
            </w:pPr>
            <w:r>
              <w:rPr>
                <w:rFonts w:hint="eastAsia"/>
              </w:rPr>
              <w:t>W</w:t>
            </w:r>
            <w:r>
              <w:rPr>
                <w:rFonts w:hint="eastAsia"/>
                <w:vertAlign w:val="subscript"/>
              </w:rPr>
              <w:t>1-3</w:t>
            </w:r>
          </w:p>
        </w:tc>
        <w:tc>
          <w:tcPr>
            <w:tcW w:w="2115" w:type="dxa"/>
            <w:shd w:val="clear" w:color="auto" w:fill="auto"/>
            <w:vAlign w:val="center"/>
          </w:tcPr>
          <w:p>
            <w:pPr>
              <w:pStyle w:val="140"/>
            </w:pPr>
            <w:r>
              <w:rPr>
                <w:rFonts w:hint="eastAsia"/>
              </w:rPr>
              <w:t>废水量:1.4m</w:t>
            </w:r>
            <w:r>
              <w:rPr>
                <w:rFonts w:hint="eastAsia"/>
                <w:vertAlign w:val="superscript"/>
              </w:rPr>
              <w:t>3</w:t>
            </w:r>
            <w:r>
              <w:rPr>
                <w:rFonts w:hint="eastAsia"/>
              </w:rPr>
              <w:t>/a，</w:t>
            </w:r>
          </w:p>
          <w:p>
            <w:pPr>
              <w:pStyle w:val="140"/>
            </w:pPr>
            <w:r>
              <w:rPr>
                <w:rFonts w:hint="eastAsia"/>
              </w:rPr>
              <w:t>CODcr &lt;100mg/L</w:t>
            </w:r>
          </w:p>
          <w:p>
            <w:pPr>
              <w:pStyle w:val="140"/>
            </w:pPr>
            <w:r>
              <w:rPr>
                <w:rFonts w:hint="eastAsia"/>
              </w:rPr>
              <w:t>氟化物 &lt;10mg/L</w:t>
            </w:r>
          </w:p>
          <w:p>
            <w:pPr>
              <w:pStyle w:val="140"/>
            </w:pPr>
            <w:r>
              <w:rPr>
                <w:rFonts w:hint="eastAsia"/>
              </w:rPr>
              <w:t>SS: &lt;30mg/L</w:t>
            </w:r>
          </w:p>
        </w:tc>
        <w:tc>
          <w:tcPr>
            <w:tcW w:w="2115" w:type="dxa"/>
            <w:shd w:val="clear" w:color="auto" w:fill="auto"/>
            <w:vAlign w:val="center"/>
          </w:tcPr>
          <w:p>
            <w:pPr>
              <w:pStyle w:val="140"/>
            </w:pPr>
            <w:r>
              <w:rPr>
                <w:rFonts w:hint="eastAsia"/>
              </w:rPr>
              <w:t>送厂区现有综合废水站处理</w:t>
            </w:r>
          </w:p>
        </w:tc>
        <w:tc>
          <w:tcPr>
            <w:tcW w:w="710" w:type="dxa"/>
            <w:vAlign w:val="center"/>
          </w:tcPr>
          <w:p>
            <w:pPr>
              <w:pStyle w:val="140"/>
            </w:pPr>
            <w:r>
              <w:rPr>
                <w:rFonts w:hint="eastAsia"/>
              </w:rPr>
              <w:t>30d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68" w:type="dxa"/>
            <w:shd w:val="clear" w:color="auto" w:fill="auto"/>
            <w:vAlign w:val="center"/>
          </w:tcPr>
          <w:p>
            <w:pPr>
              <w:pStyle w:val="140"/>
            </w:pPr>
            <w:r>
              <w:rPr>
                <w:rFonts w:hint="eastAsia"/>
              </w:rPr>
              <w:t>固体废物</w:t>
            </w:r>
          </w:p>
        </w:tc>
        <w:tc>
          <w:tcPr>
            <w:tcW w:w="1037" w:type="dxa"/>
            <w:vAlign w:val="center"/>
          </w:tcPr>
          <w:p>
            <w:pPr>
              <w:pStyle w:val="140"/>
            </w:pPr>
            <w:r>
              <w:rPr>
                <w:rFonts w:hint="eastAsia"/>
              </w:rPr>
              <w:t>压缩机</w:t>
            </w:r>
          </w:p>
        </w:tc>
        <w:tc>
          <w:tcPr>
            <w:tcW w:w="989" w:type="dxa"/>
            <w:shd w:val="clear" w:color="auto" w:fill="auto"/>
            <w:vAlign w:val="center"/>
          </w:tcPr>
          <w:p>
            <w:pPr>
              <w:pStyle w:val="140"/>
            </w:pPr>
            <w:r>
              <w:rPr>
                <w:rFonts w:hint="eastAsia"/>
              </w:rPr>
              <w:t>废油</w:t>
            </w:r>
          </w:p>
        </w:tc>
        <w:tc>
          <w:tcPr>
            <w:tcW w:w="706" w:type="dxa"/>
            <w:shd w:val="clear" w:color="auto" w:fill="auto"/>
            <w:vAlign w:val="center"/>
          </w:tcPr>
          <w:p>
            <w:pPr>
              <w:pStyle w:val="140"/>
            </w:pPr>
            <w:r>
              <w:rPr>
                <w:rFonts w:hint="eastAsia"/>
              </w:rPr>
              <w:t>S</w:t>
            </w:r>
            <w:r>
              <w:rPr>
                <w:rFonts w:hint="eastAsia"/>
                <w:vertAlign w:val="subscript"/>
              </w:rPr>
              <w:t>1-2</w:t>
            </w:r>
          </w:p>
        </w:tc>
        <w:tc>
          <w:tcPr>
            <w:tcW w:w="2115" w:type="dxa"/>
            <w:shd w:val="clear" w:color="auto" w:fill="auto"/>
            <w:vAlign w:val="center"/>
          </w:tcPr>
          <w:p>
            <w:pPr>
              <w:pStyle w:val="140"/>
              <w:rPr>
                <w:spacing w:val="20"/>
              </w:rPr>
            </w:pPr>
            <w:r>
              <w:rPr>
                <w:rFonts w:hint="eastAsia"/>
                <w:spacing w:val="20"/>
              </w:rPr>
              <w:t>产生量：0.01t/a</w:t>
            </w:r>
          </w:p>
        </w:tc>
        <w:tc>
          <w:tcPr>
            <w:tcW w:w="2115" w:type="dxa"/>
            <w:shd w:val="clear" w:color="auto" w:fill="auto"/>
            <w:vAlign w:val="center"/>
          </w:tcPr>
          <w:p>
            <w:pPr>
              <w:pStyle w:val="140"/>
            </w:pPr>
            <w:r>
              <w:rPr>
                <w:rFonts w:hint="eastAsia"/>
              </w:rPr>
              <w:t>外委有资质的危废处置单位处置</w:t>
            </w:r>
          </w:p>
        </w:tc>
        <w:tc>
          <w:tcPr>
            <w:tcW w:w="710" w:type="dxa"/>
            <w:vAlign w:val="center"/>
          </w:tcPr>
          <w:p>
            <w:pPr>
              <w:pStyle w:val="140"/>
              <w:rPr>
                <w:spacing w:val="20"/>
              </w:rPr>
            </w:pPr>
            <w:r>
              <w:rPr>
                <w:rFonts w:hint="eastAsia"/>
                <w:spacing w:val="20"/>
              </w:rPr>
              <w:t>/</w:t>
            </w:r>
          </w:p>
        </w:tc>
      </w:tr>
    </w:tbl>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2.4.2</w:t>
      </w:r>
      <w:r>
        <w:rPr>
          <w:rFonts w:hint="eastAsia" w:ascii="Times New Roman" w:hAnsi="Times New Roman" w:eastAsia="宋体" w:cs="Times New Roman"/>
          <w:kern w:val="2"/>
          <w:sz w:val="24"/>
          <w:szCs w:val="24"/>
          <w:lang w:val="en-US" w:eastAsia="zh-CN" w:bidi="ar-SA"/>
        </w:rPr>
        <w:t xml:space="preserve">  2-全氟丙氧基全氟丙基三氟乙烯基醚（POPVE）单体工艺原理、工艺流程及产污环节</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2.4.2.1</w:t>
      </w:r>
      <w:r>
        <w:rPr>
          <w:rFonts w:hint="eastAsia" w:ascii="Times New Roman" w:hAnsi="Times New Roman" w:eastAsia="宋体" w:cs="Times New Roman"/>
          <w:kern w:val="2"/>
          <w:sz w:val="24"/>
          <w:szCs w:val="24"/>
          <w:lang w:val="en-US" w:eastAsia="zh-CN" w:bidi="ar-SA"/>
        </w:rPr>
        <w:t xml:space="preserve"> 研究进展</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经前期验证POPVE对改善氟橡胶低温性能有较大提高，是合成偏氟醚橡胶关键单体。中昊晨光在POPVE合成方面进行了大量的研究工作，目前合成POPVE单体的工艺路线虽然基本打通，已成熟地在实验室内制备。但由于实验室主要是玻璃装置，批次产能仅有百克级，且单体纯度不高，仅在90%左右，而针对-40℃级氟醚胶的配套需求，批次产能需达到20kg，单体纯度需控制在99%以上，同时也需要充分考虑各种安全防护以及环保处理措施。因此，现有的实验室装置已不能满足研发需要，需要开展工程化放大技术研究，有必要单独设计建设1套合成POPVE单体的工艺装置，新增设备按照全套工艺流程进行配置。</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目前，该工艺路线已经确定为HFPO聚合→(HFPO)3精馏→中和→干燥→粉碎→裂解→萃取→POPVE精馏。为充分保证该工艺的安全性及工程化，并配备相应的三废处理装置。</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2.4.2</w:t>
      </w:r>
      <w:r>
        <w:rPr>
          <w:rFonts w:hint="eastAsia" w:ascii="Times New Roman" w:hAnsi="Times New Roman" w:eastAsia="宋体" w:cs="Times New Roman"/>
          <w:kern w:val="2"/>
          <w:sz w:val="24"/>
          <w:szCs w:val="24"/>
          <w:lang w:val="en-US" w:eastAsia="zh-CN" w:bidi="ar-SA"/>
        </w:rPr>
        <w:t>.2  工艺原理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以六氟环氧丙烷HFPO为原料，通过加入极性溶剂乙腈，在碱金属卤化物催化剂（含氯化亚铜和四甲基乙二胺）作用下低温聚合成(HFPO)3。本步反应的转化率为100%，收率为29%（以HFPO计）。</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主反应：</w:t>
      </w:r>
    </w:p>
    <w:p>
      <w:pPr>
        <w:spacing w:line="240" w:lineRule="auto"/>
        <w:ind w:firstLine="560"/>
      </w:pPr>
      <w:r>
        <w:drawing>
          <wp:inline distT="0" distB="0" distL="0" distR="0">
            <wp:extent cx="4700270" cy="761365"/>
            <wp:effectExtent l="0" t="0" r="5080" b="63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7" cstate="print"/>
                    <a:srcRect/>
                    <a:stretch>
                      <a:fillRect/>
                    </a:stretch>
                  </pic:blipFill>
                  <pic:spPr>
                    <a:xfrm>
                      <a:off x="0" y="0"/>
                      <a:ext cx="4752686" cy="770355"/>
                    </a:xfrm>
                    <a:prstGeom prst="rect">
                      <a:avLst/>
                    </a:prstGeom>
                    <a:noFill/>
                    <a:ln w="9525">
                      <a:noFill/>
                      <a:miter lim="800000"/>
                      <a:headEnd/>
                      <a:tailEnd/>
                    </a:ln>
                  </pic:spPr>
                </pic:pic>
              </a:graphicData>
            </a:graphic>
          </wp:inline>
        </w:drawing>
      </w:r>
    </w:p>
    <w:p>
      <w:pPr>
        <w:spacing w:line="240" w:lineRule="auto"/>
        <w:ind w:firstLine="480"/>
        <w:rPr>
          <w:rStyle w:val="149"/>
        </w:rPr>
      </w:pPr>
      <w:r>
        <w:rPr>
          <w:rStyle w:val="149"/>
          <w:rFonts w:hint="eastAsia"/>
        </w:rPr>
        <w:t>副反应：</w:t>
      </w:r>
    </w:p>
    <w:p>
      <w:pPr>
        <w:spacing w:line="240" w:lineRule="auto"/>
        <w:ind w:firstLine="560"/>
      </w:pPr>
      <w:r>
        <w:drawing>
          <wp:inline distT="0" distB="0" distL="0" distR="0">
            <wp:extent cx="3721100" cy="544195"/>
            <wp:effectExtent l="0" t="0" r="1270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srcRect/>
                    <a:stretch>
                      <a:fillRect/>
                    </a:stretch>
                  </pic:blipFill>
                  <pic:spPr>
                    <a:xfrm>
                      <a:off x="0" y="0"/>
                      <a:ext cx="3733123" cy="546168"/>
                    </a:xfrm>
                    <a:prstGeom prst="rect">
                      <a:avLst/>
                    </a:prstGeom>
                    <a:noFill/>
                    <a:ln w="9525">
                      <a:noFill/>
                      <a:miter lim="800000"/>
                      <a:headEnd/>
                      <a:tailEnd/>
                    </a:ln>
                  </pic:spPr>
                </pic:pic>
              </a:graphicData>
            </a:graphic>
          </wp:inline>
        </w:drawing>
      </w:r>
    </w:p>
    <w:p>
      <w:pPr>
        <w:ind w:firstLine="560"/>
      </w:pPr>
      <w:r>
        <w:rPr>
          <w:rFonts w:hint="eastAsia"/>
        </w:rPr>
        <w:t>之后，(HFPO</w:t>
      </w:r>
      <w:r>
        <w:rPr>
          <w:rFonts w:hint="eastAsia"/>
          <w:bCs/>
        </w:rPr>
        <w:t>)</w:t>
      </w:r>
      <w:r>
        <w:rPr>
          <w:rFonts w:hint="eastAsia"/>
          <w:vertAlign w:val="subscript"/>
        </w:rPr>
        <w:t>3</w:t>
      </w:r>
      <w:r>
        <w:rPr>
          <w:rFonts w:hint="eastAsia"/>
        </w:rPr>
        <w:t>与KOH溶液中和反应生成钾盐。本步的转化率为100%，收率为54.5%。</w:t>
      </w:r>
    </w:p>
    <w:p>
      <w:pPr>
        <w:ind w:firstLine="480"/>
        <w:rPr>
          <w:rStyle w:val="149"/>
        </w:rPr>
      </w:pPr>
      <w:r>
        <w:rPr>
          <w:rStyle w:val="149"/>
          <w:rFonts w:hint="eastAsia"/>
        </w:rPr>
        <w:t>主反应：</w:t>
      </w:r>
    </w:p>
    <w:p>
      <w:pPr>
        <w:pStyle w:val="140"/>
        <w:spacing w:line="240" w:lineRule="auto"/>
      </w:pPr>
      <w:r>
        <w:drawing>
          <wp:inline distT="0" distB="0" distL="0" distR="0">
            <wp:extent cx="5429885" cy="748030"/>
            <wp:effectExtent l="0" t="0" r="18415" b="1397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19" cstate="print"/>
                    <a:srcRect/>
                    <a:stretch>
                      <a:fillRect/>
                    </a:stretch>
                  </pic:blipFill>
                  <pic:spPr>
                    <a:xfrm>
                      <a:off x="0" y="0"/>
                      <a:ext cx="5425776" cy="747508"/>
                    </a:xfrm>
                    <a:prstGeom prst="rect">
                      <a:avLst/>
                    </a:prstGeom>
                    <a:noFill/>
                    <a:ln w="9525">
                      <a:noFill/>
                      <a:miter lim="800000"/>
                      <a:headEnd/>
                      <a:tailEnd/>
                    </a:ln>
                  </pic:spPr>
                </pic:pic>
              </a:graphicData>
            </a:graphic>
          </wp:inline>
        </w:drawing>
      </w:r>
    </w:p>
    <w:p>
      <w:pPr>
        <w:ind w:firstLine="480"/>
        <w:rPr>
          <w:rStyle w:val="149"/>
        </w:rPr>
      </w:pPr>
      <w:r>
        <w:rPr>
          <w:rStyle w:val="149"/>
          <w:rFonts w:hint="eastAsia"/>
        </w:rPr>
        <w:t>副反应：</w:t>
      </w:r>
    </w:p>
    <w:p>
      <w:pPr>
        <w:pStyle w:val="140"/>
        <w:spacing w:line="240" w:lineRule="auto"/>
      </w:pPr>
      <w:r>
        <w:drawing>
          <wp:inline distT="0" distB="0" distL="0" distR="0">
            <wp:extent cx="5278120" cy="619760"/>
            <wp:effectExtent l="0" t="0" r="1778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srcRect/>
                    <a:stretch>
                      <a:fillRect/>
                    </a:stretch>
                  </pic:blipFill>
                  <pic:spPr>
                    <a:xfrm>
                      <a:off x="0" y="0"/>
                      <a:ext cx="5278120" cy="620130"/>
                    </a:xfrm>
                    <a:prstGeom prst="rect">
                      <a:avLst/>
                    </a:prstGeom>
                    <a:noFill/>
                    <a:ln w="9525">
                      <a:noFill/>
                      <a:miter lim="800000"/>
                      <a:headEnd/>
                      <a:tailEnd/>
                    </a:ln>
                  </pic:spPr>
                </pic:pic>
              </a:graphicData>
            </a:graphic>
          </wp:inline>
        </w:drawing>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钾盐再经过干燥、粉碎后，在200℃度条件下发生裂解反应生成POPVE单体。本步的转化率为95%，收率为50%。</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主反应：</w:t>
      </w:r>
    </w:p>
    <w:p>
      <w:pPr>
        <w:pStyle w:val="140"/>
        <w:spacing w:line="240" w:lineRule="auto"/>
      </w:pPr>
      <w:r>
        <w:drawing>
          <wp:inline distT="0" distB="0" distL="0" distR="0">
            <wp:extent cx="5282565" cy="738505"/>
            <wp:effectExtent l="0" t="0" r="1333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cstate="print"/>
                    <a:srcRect/>
                    <a:stretch>
                      <a:fillRect/>
                    </a:stretch>
                  </pic:blipFill>
                  <pic:spPr>
                    <a:xfrm>
                      <a:off x="0" y="0"/>
                      <a:ext cx="5278120" cy="738279"/>
                    </a:xfrm>
                    <a:prstGeom prst="rect">
                      <a:avLst/>
                    </a:prstGeom>
                    <a:noFill/>
                    <a:ln w="9525">
                      <a:noFill/>
                      <a:miter lim="800000"/>
                      <a:headEnd/>
                      <a:tailEnd/>
                    </a:ln>
                  </pic:spPr>
                </pic:pic>
              </a:graphicData>
            </a:graphic>
          </wp:inline>
        </w:drawing>
      </w:r>
    </w:p>
    <w:p>
      <w:pPr>
        <w:ind w:firstLine="480"/>
        <w:rPr>
          <w:rStyle w:val="149"/>
        </w:rPr>
      </w:pPr>
      <w:r>
        <w:rPr>
          <w:rStyle w:val="149"/>
          <w:rFonts w:hint="eastAsia"/>
        </w:rPr>
        <w:t>副反应：</w:t>
      </w:r>
    </w:p>
    <w:p>
      <w:pPr>
        <w:pStyle w:val="140"/>
        <w:spacing w:line="240" w:lineRule="auto"/>
      </w:pPr>
      <w:r>
        <w:drawing>
          <wp:inline distT="0" distB="0" distL="0" distR="0">
            <wp:extent cx="3813810" cy="660400"/>
            <wp:effectExtent l="0" t="0" r="152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cstate="print"/>
                    <a:srcRect/>
                    <a:stretch>
                      <a:fillRect/>
                    </a:stretch>
                  </pic:blipFill>
                  <pic:spPr>
                    <a:xfrm>
                      <a:off x="0" y="0"/>
                      <a:ext cx="3813803" cy="660676"/>
                    </a:xfrm>
                    <a:prstGeom prst="rect">
                      <a:avLst/>
                    </a:prstGeom>
                    <a:noFill/>
                    <a:ln w="9525">
                      <a:noFill/>
                      <a:miter lim="800000"/>
                      <a:headEnd/>
                      <a:tailEnd/>
                    </a:ln>
                  </pic:spPr>
                </pic:pic>
              </a:graphicData>
            </a:graphic>
          </wp:inline>
        </w:drawing>
      </w:r>
    </w:p>
    <w:p>
      <w:pPr>
        <w:ind w:firstLine="560"/>
        <w:rPr>
          <w:color w:val="auto"/>
        </w:rPr>
      </w:pPr>
      <w:r>
        <w:rPr>
          <w:rFonts w:hint="eastAsia"/>
          <w:color w:val="auto"/>
        </w:rPr>
        <w:t>以上三步分别的批次串接情况如下：</w:t>
      </w:r>
    </w:p>
    <w:p>
      <w:pPr>
        <w:pStyle w:val="140"/>
        <w:rPr>
          <w:color w:val="auto"/>
        </w:rPr>
      </w:pPr>
    </w:p>
    <w:p>
      <w:pPr>
        <w:pStyle w:val="140"/>
        <w:ind w:firstLine="560"/>
        <w:rPr>
          <w:color w:val="auto"/>
        </w:rPr>
      </w:pPr>
      <w:r>
        <w:rPr>
          <w:rFonts w:hint="eastAsia"/>
          <w:color w:val="auto"/>
        </w:rPr>
        <w:t xml:space="preserve">  HFPO（含量：</w:t>
      </w:r>
      <w:r>
        <w:rPr>
          <w:color w:val="auto"/>
        </w:rPr>
        <w:t>99</w:t>
      </w:r>
      <w:r>
        <w:rPr>
          <w:rFonts w:hint="eastAsia"/>
          <w:color w:val="auto"/>
        </w:rPr>
        <w:t>%）</w:t>
      </w:r>
    </w:p>
    <w:p>
      <w:pPr>
        <w:pStyle w:val="150"/>
        <w:spacing w:line="400" w:lineRule="exact"/>
        <w:rPr>
          <w:color w:val="auto"/>
        </w:rPr>
      </w:pPr>
      <w:r>
        <w:rPr>
          <w:rFonts w:hint="eastAsia"/>
          <w:color w:val="auto"/>
        </w:rPr>
        <w:t xml:space="preserve">         </w:t>
      </w:r>
      <w:r>
        <w:rPr>
          <w:rFonts w:hint="eastAsia"/>
          <w:b/>
          <w:color w:val="auto"/>
          <w:sz w:val="32"/>
          <w:szCs w:val="32"/>
        </w:rPr>
        <w:t>↓</w:t>
      </w:r>
      <w:r>
        <w:rPr>
          <w:rFonts w:hint="eastAsia"/>
          <w:color w:val="auto"/>
        </w:rPr>
        <w:t>投料：170kg</w:t>
      </w:r>
    </w:p>
    <w:tbl>
      <w:tblPr>
        <w:tblStyle w:val="43"/>
        <w:tblW w:w="6804"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382"/>
        <w:gridCol w:w="1134"/>
        <w:gridCol w:w="1150"/>
        <w:gridCol w:w="1118"/>
        <w:gridCol w:w="1134"/>
        <w:gridCol w:w="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restart"/>
            <w:tcBorders>
              <w:right w:val="nil"/>
            </w:tcBorders>
          </w:tcPr>
          <w:p>
            <w:pPr>
              <w:pStyle w:val="140"/>
              <w:rPr>
                <w:color w:val="auto"/>
              </w:rPr>
            </w:pPr>
          </w:p>
        </w:tc>
        <w:tc>
          <w:tcPr>
            <w:tcW w:w="5918" w:type="dxa"/>
            <w:gridSpan w:val="5"/>
            <w:tcBorders>
              <w:left w:val="nil"/>
              <w:right w:val="nil"/>
            </w:tcBorders>
          </w:tcPr>
          <w:p>
            <w:pPr>
              <w:pStyle w:val="140"/>
              <w:rPr>
                <w:color w:val="auto"/>
              </w:rPr>
            </w:pPr>
            <w:r>
              <w:rPr>
                <w:rFonts w:hint="eastAsia"/>
                <w:color w:val="auto"/>
              </w:rPr>
              <w:t>聚合反应及净化</w:t>
            </w:r>
          </w:p>
        </w:tc>
        <w:tc>
          <w:tcPr>
            <w:tcW w:w="283" w:type="dxa"/>
            <w:vMerge w:val="restart"/>
            <w:tcBorders>
              <w:left w:val="nil"/>
            </w:tcBorders>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continue"/>
          </w:tcPr>
          <w:p>
            <w:pPr>
              <w:pStyle w:val="140"/>
              <w:rPr>
                <w:color w:val="auto"/>
              </w:rPr>
            </w:pPr>
          </w:p>
        </w:tc>
        <w:tc>
          <w:tcPr>
            <w:tcW w:w="1382" w:type="dxa"/>
            <w:vAlign w:val="center"/>
          </w:tcPr>
          <w:p>
            <w:pPr>
              <w:pStyle w:val="140"/>
              <w:rPr>
                <w:color w:val="auto"/>
              </w:rPr>
            </w:pPr>
            <w:r>
              <w:rPr>
                <w:rFonts w:hint="eastAsia"/>
                <w:color w:val="auto"/>
              </w:rPr>
              <w:t>聚合反应釜</w:t>
            </w:r>
          </w:p>
        </w:tc>
        <w:tc>
          <w:tcPr>
            <w:tcW w:w="1134" w:type="dxa"/>
            <w:vAlign w:val="center"/>
          </w:tcPr>
          <w:p>
            <w:pPr>
              <w:pStyle w:val="140"/>
              <w:rPr>
                <w:color w:val="auto"/>
              </w:rPr>
            </w:pPr>
            <w:r>
              <w:rPr>
                <w:rFonts w:hint="eastAsia"/>
                <w:color w:val="auto"/>
              </w:rPr>
              <w:t>转化率</w:t>
            </w:r>
          </w:p>
        </w:tc>
        <w:tc>
          <w:tcPr>
            <w:tcW w:w="1150" w:type="dxa"/>
            <w:vAlign w:val="center"/>
          </w:tcPr>
          <w:p>
            <w:pPr>
              <w:pStyle w:val="140"/>
              <w:rPr>
                <w:color w:val="auto"/>
              </w:rPr>
            </w:pPr>
            <w:r>
              <w:rPr>
                <w:rFonts w:hint="eastAsia"/>
                <w:color w:val="auto"/>
              </w:rPr>
              <w:t>收率</w:t>
            </w:r>
          </w:p>
        </w:tc>
        <w:tc>
          <w:tcPr>
            <w:tcW w:w="1118" w:type="dxa"/>
            <w:vAlign w:val="center"/>
          </w:tcPr>
          <w:p>
            <w:pPr>
              <w:pStyle w:val="140"/>
              <w:rPr>
                <w:color w:val="auto"/>
              </w:rPr>
            </w:pPr>
            <w:r>
              <w:rPr>
                <w:rFonts w:hint="eastAsia"/>
                <w:color w:val="auto"/>
              </w:rPr>
              <w:t>产率</w:t>
            </w:r>
          </w:p>
        </w:tc>
        <w:tc>
          <w:tcPr>
            <w:tcW w:w="1134" w:type="dxa"/>
            <w:vAlign w:val="center"/>
          </w:tcPr>
          <w:p>
            <w:pPr>
              <w:pStyle w:val="140"/>
              <w:rPr>
                <w:color w:val="auto"/>
              </w:rPr>
            </w:pPr>
            <w:r>
              <w:rPr>
                <w:rFonts w:hint="eastAsia"/>
                <w:color w:val="auto"/>
              </w:rPr>
              <w:t>反应时间</w:t>
            </w:r>
          </w:p>
        </w:tc>
        <w:tc>
          <w:tcPr>
            <w:tcW w:w="283" w:type="dxa"/>
            <w:vMerge w:val="continue"/>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continue"/>
          </w:tcPr>
          <w:p>
            <w:pPr>
              <w:pStyle w:val="140"/>
              <w:rPr>
                <w:color w:val="auto"/>
              </w:rPr>
            </w:pPr>
          </w:p>
        </w:tc>
        <w:tc>
          <w:tcPr>
            <w:tcW w:w="1382" w:type="dxa"/>
            <w:tcBorders>
              <w:bottom w:val="single" w:color="auto" w:sz="4" w:space="0"/>
            </w:tcBorders>
            <w:vAlign w:val="center"/>
          </w:tcPr>
          <w:p>
            <w:pPr>
              <w:pStyle w:val="140"/>
              <w:rPr>
                <w:color w:val="auto"/>
              </w:rPr>
            </w:pPr>
            <w:r>
              <w:rPr>
                <w:color w:val="auto"/>
              </w:rPr>
              <w:t>200L</w:t>
            </w:r>
          </w:p>
        </w:tc>
        <w:tc>
          <w:tcPr>
            <w:tcW w:w="1134" w:type="dxa"/>
            <w:tcBorders>
              <w:bottom w:val="single" w:color="auto" w:sz="4" w:space="0"/>
            </w:tcBorders>
            <w:vAlign w:val="center"/>
          </w:tcPr>
          <w:p>
            <w:pPr>
              <w:pStyle w:val="140"/>
              <w:rPr>
                <w:color w:val="auto"/>
              </w:rPr>
            </w:pPr>
            <w:r>
              <w:rPr>
                <w:rFonts w:hint="eastAsia"/>
                <w:color w:val="auto"/>
              </w:rPr>
              <w:t>100%</w:t>
            </w:r>
          </w:p>
        </w:tc>
        <w:tc>
          <w:tcPr>
            <w:tcW w:w="1150" w:type="dxa"/>
            <w:tcBorders>
              <w:bottom w:val="single" w:color="auto" w:sz="4" w:space="0"/>
            </w:tcBorders>
            <w:vAlign w:val="center"/>
          </w:tcPr>
          <w:p>
            <w:pPr>
              <w:pStyle w:val="140"/>
              <w:rPr>
                <w:color w:val="auto"/>
              </w:rPr>
            </w:pPr>
            <w:r>
              <w:rPr>
                <w:rFonts w:hint="eastAsia"/>
                <w:color w:val="auto"/>
              </w:rPr>
              <w:t>29%</w:t>
            </w:r>
          </w:p>
        </w:tc>
        <w:tc>
          <w:tcPr>
            <w:tcW w:w="1118" w:type="dxa"/>
            <w:tcBorders>
              <w:bottom w:val="single" w:color="auto" w:sz="4" w:space="0"/>
            </w:tcBorders>
            <w:vAlign w:val="center"/>
          </w:tcPr>
          <w:p>
            <w:pPr>
              <w:pStyle w:val="140"/>
              <w:rPr>
                <w:color w:val="auto"/>
              </w:rPr>
            </w:pPr>
            <w:r>
              <w:rPr>
                <w:rFonts w:hint="eastAsia"/>
                <w:color w:val="auto"/>
              </w:rPr>
              <w:t>8</w:t>
            </w:r>
            <w:r>
              <w:rPr>
                <w:color w:val="auto"/>
              </w:rPr>
              <w:t>8.2</w:t>
            </w:r>
          </w:p>
        </w:tc>
        <w:tc>
          <w:tcPr>
            <w:tcW w:w="1134" w:type="dxa"/>
            <w:tcBorders>
              <w:bottom w:val="single" w:color="auto" w:sz="4" w:space="0"/>
            </w:tcBorders>
            <w:vAlign w:val="center"/>
          </w:tcPr>
          <w:p>
            <w:pPr>
              <w:pStyle w:val="140"/>
              <w:rPr>
                <w:color w:val="auto"/>
              </w:rPr>
            </w:pPr>
            <w:r>
              <w:rPr>
                <w:rFonts w:hint="eastAsia"/>
                <w:color w:val="auto"/>
              </w:rPr>
              <w:t>3.5h</w:t>
            </w:r>
          </w:p>
        </w:tc>
        <w:tc>
          <w:tcPr>
            <w:tcW w:w="283" w:type="dxa"/>
            <w:vMerge w:val="continue"/>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03" w:type="dxa"/>
            <w:vMerge w:val="continue"/>
            <w:tcBorders>
              <w:right w:val="nil"/>
            </w:tcBorders>
          </w:tcPr>
          <w:p>
            <w:pPr>
              <w:pStyle w:val="140"/>
              <w:rPr>
                <w:color w:val="auto"/>
              </w:rPr>
            </w:pPr>
          </w:p>
        </w:tc>
        <w:tc>
          <w:tcPr>
            <w:tcW w:w="5918" w:type="dxa"/>
            <w:gridSpan w:val="5"/>
            <w:tcBorders>
              <w:left w:val="nil"/>
              <w:right w:val="nil"/>
            </w:tcBorders>
          </w:tcPr>
          <w:p>
            <w:pPr>
              <w:pStyle w:val="140"/>
              <w:rPr>
                <w:color w:val="auto"/>
              </w:rPr>
            </w:pPr>
          </w:p>
        </w:tc>
        <w:tc>
          <w:tcPr>
            <w:tcW w:w="283" w:type="dxa"/>
            <w:vMerge w:val="continue"/>
            <w:tcBorders>
              <w:left w:val="nil"/>
            </w:tcBorders>
          </w:tcPr>
          <w:p>
            <w:pPr>
              <w:pStyle w:val="140"/>
              <w:rPr>
                <w:color w:val="auto"/>
              </w:rPr>
            </w:pPr>
          </w:p>
        </w:tc>
      </w:tr>
    </w:tbl>
    <w:p>
      <w:pPr>
        <w:pStyle w:val="150"/>
        <w:spacing w:line="400" w:lineRule="exact"/>
        <w:rPr>
          <w:color w:val="auto"/>
        </w:rPr>
      </w:pPr>
      <w:r>
        <w:rPr>
          <w:rFonts w:hint="eastAsia"/>
          <w:color w:val="auto"/>
        </w:rPr>
        <w:t xml:space="preserve">         </w:t>
      </w:r>
      <w:r>
        <w:rPr>
          <w:rFonts w:hint="eastAsia"/>
          <w:b/>
          <w:color w:val="auto"/>
          <w:sz w:val="32"/>
          <w:szCs w:val="32"/>
        </w:rPr>
        <w:t>↓</w:t>
      </w:r>
      <w:r>
        <w:rPr>
          <w:rFonts w:hint="eastAsia"/>
          <w:color w:val="auto"/>
        </w:rPr>
        <w:t>出料:50kg</w:t>
      </w:r>
    </w:p>
    <w:p>
      <w:pPr>
        <w:pStyle w:val="140"/>
        <w:ind w:firstLine="560"/>
        <w:rPr>
          <w:color w:val="auto"/>
        </w:rPr>
      </w:pPr>
      <w:r>
        <w:rPr>
          <w:rFonts w:hint="eastAsia"/>
          <w:color w:val="auto"/>
        </w:rPr>
        <w:t>(HFPO</w:t>
      </w:r>
      <w:r>
        <w:rPr>
          <w:rFonts w:hint="eastAsia"/>
          <w:bCs/>
          <w:color w:val="auto"/>
        </w:rPr>
        <w:t>)</w:t>
      </w:r>
      <w:r>
        <w:rPr>
          <w:rFonts w:hint="eastAsia"/>
          <w:color w:val="auto"/>
          <w:vertAlign w:val="subscript"/>
        </w:rPr>
        <w:t>3</w:t>
      </w:r>
      <w:r>
        <w:rPr>
          <w:rFonts w:hint="eastAsia"/>
          <w:color w:val="auto"/>
        </w:rPr>
        <w:t>（含量：</w:t>
      </w:r>
      <w:r>
        <w:rPr>
          <w:color w:val="auto"/>
        </w:rPr>
        <w:t>99</w:t>
      </w:r>
      <w:r>
        <w:rPr>
          <w:rFonts w:hint="eastAsia"/>
          <w:color w:val="auto"/>
        </w:rPr>
        <w:t>%）</w:t>
      </w:r>
    </w:p>
    <w:p>
      <w:pPr>
        <w:pStyle w:val="150"/>
        <w:spacing w:line="400" w:lineRule="exact"/>
        <w:rPr>
          <w:color w:val="auto"/>
        </w:rPr>
      </w:pPr>
      <w:r>
        <w:rPr>
          <w:rFonts w:hint="eastAsia"/>
          <w:color w:val="auto"/>
        </w:rPr>
        <w:t xml:space="preserve">         </w:t>
      </w:r>
      <w:r>
        <w:rPr>
          <w:rFonts w:hint="eastAsia"/>
          <w:b/>
          <w:color w:val="auto"/>
          <w:sz w:val="32"/>
          <w:szCs w:val="32"/>
        </w:rPr>
        <w:t>↓</w:t>
      </w:r>
      <w:r>
        <w:rPr>
          <w:rFonts w:hint="eastAsia"/>
          <w:color w:val="auto"/>
        </w:rPr>
        <w:t>投料：50kg</w:t>
      </w:r>
    </w:p>
    <w:tbl>
      <w:tblPr>
        <w:tblStyle w:val="43"/>
        <w:tblW w:w="6804"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420"/>
        <w:gridCol w:w="1096"/>
        <w:gridCol w:w="1202"/>
        <w:gridCol w:w="1066"/>
        <w:gridCol w:w="1134"/>
        <w:gridCol w:w="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restart"/>
            <w:tcBorders>
              <w:right w:val="nil"/>
            </w:tcBorders>
          </w:tcPr>
          <w:p>
            <w:pPr>
              <w:pStyle w:val="140"/>
              <w:rPr>
                <w:color w:val="auto"/>
              </w:rPr>
            </w:pPr>
          </w:p>
        </w:tc>
        <w:tc>
          <w:tcPr>
            <w:tcW w:w="5918" w:type="dxa"/>
            <w:gridSpan w:val="5"/>
            <w:tcBorders>
              <w:left w:val="nil"/>
              <w:right w:val="nil"/>
            </w:tcBorders>
          </w:tcPr>
          <w:p>
            <w:pPr>
              <w:pStyle w:val="140"/>
              <w:rPr>
                <w:color w:val="auto"/>
              </w:rPr>
            </w:pPr>
            <w:r>
              <w:rPr>
                <w:rFonts w:hint="eastAsia"/>
                <w:color w:val="auto"/>
              </w:rPr>
              <w:t>中和反应及净化</w:t>
            </w:r>
          </w:p>
        </w:tc>
        <w:tc>
          <w:tcPr>
            <w:tcW w:w="283" w:type="dxa"/>
            <w:vMerge w:val="restart"/>
            <w:tcBorders>
              <w:left w:val="nil"/>
            </w:tcBorders>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continue"/>
          </w:tcPr>
          <w:p>
            <w:pPr>
              <w:pStyle w:val="140"/>
              <w:rPr>
                <w:color w:val="auto"/>
              </w:rPr>
            </w:pPr>
          </w:p>
        </w:tc>
        <w:tc>
          <w:tcPr>
            <w:tcW w:w="1420" w:type="dxa"/>
            <w:vAlign w:val="center"/>
          </w:tcPr>
          <w:p>
            <w:pPr>
              <w:pStyle w:val="140"/>
              <w:rPr>
                <w:color w:val="auto"/>
              </w:rPr>
            </w:pPr>
            <w:r>
              <w:rPr>
                <w:rFonts w:hint="eastAsia"/>
                <w:color w:val="auto"/>
              </w:rPr>
              <w:t>中和槽</w:t>
            </w:r>
          </w:p>
        </w:tc>
        <w:tc>
          <w:tcPr>
            <w:tcW w:w="1096" w:type="dxa"/>
            <w:vAlign w:val="center"/>
          </w:tcPr>
          <w:p>
            <w:pPr>
              <w:pStyle w:val="140"/>
              <w:rPr>
                <w:color w:val="auto"/>
              </w:rPr>
            </w:pPr>
            <w:r>
              <w:rPr>
                <w:rFonts w:hint="eastAsia"/>
                <w:color w:val="auto"/>
              </w:rPr>
              <w:t>转化率</w:t>
            </w:r>
          </w:p>
        </w:tc>
        <w:tc>
          <w:tcPr>
            <w:tcW w:w="1202" w:type="dxa"/>
            <w:vAlign w:val="center"/>
          </w:tcPr>
          <w:p>
            <w:pPr>
              <w:pStyle w:val="140"/>
              <w:rPr>
                <w:color w:val="auto"/>
              </w:rPr>
            </w:pPr>
            <w:r>
              <w:rPr>
                <w:rFonts w:hint="eastAsia"/>
                <w:color w:val="auto"/>
              </w:rPr>
              <w:t>收率</w:t>
            </w:r>
          </w:p>
        </w:tc>
        <w:tc>
          <w:tcPr>
            <w:tcW w:w="1066" w:type="dxa"/>
            <w:vAlign w:val="center"/>
          </w:tcPr>
          <w:p>
            <w:pPr>
              <w:pStyle w:val="140"/>
              <w:rPr>
                <w:color w:val="auto"/>
              </w:rPr>
            </w:pPr>
            <w:r>
              <w:rPr>
                <w:rFonts w:hint="eastAsia"/>
                <w:color w:val="auto"/>
              </w:rPr>
              <w:t>产率</w:t>
            </w:r>
          </w:p>
        </w:tc>
        <w:tc>
          <w:tcPr>
            <w:tcW w:w="1134" w:type="dxa"/>
            <w:vAlign w:val="center"/>
          </w:tcPr>
          <w:p>
            <w:pPr>
              <w:pStyle w:val="140"/>
              <w:rPr>
                <w:color w:val="auto"/>
              </w:rPr>
            </w:pPr>
            <w:r>
              <w:rPr>
                <w:rFonts w:hint="eastAsia"/>
                <w:color w:val="auto"/>
              </w:rPr>
              <w:t>反应时间</w:t>
            </w:r>
          </w:p>
        </w:tc>
        <w:tc>
          <w:tcPr>
            <w:tcW w:w="283" w:type="dxa"/>
            <w:vMerge w:val="continue"/>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continue"/>
          </w:tcPr>
          <w:p>
            <w:pPr>
              <w:pStyle w:val="140"/>
              <w:rPr>
                <w:color w:val="auto"/>
              </w:rPr>
            </w:pPr>
          </w:p>
        </w:tc>
        <w:tc>
          <w:tcPr>
            <w:tcW w:w="1420" w:type="dxa"/>
            <w:tcBorders>
              <w:bottom w:val="single" w:color="auto" w:sz="4" w:space="0"/>
            </w:tcBorders>
            <w:vAlign w:val="center"/>
          </w:tcPr>
          <w:p>
            <w:pPr>
              <w:pStyle w:val="140"/>
              <w:rPr>
                <w:color w:val="auto"/>
              </w:rPr>
            </w:pPr>
            <w:r>
              <w:rPr>
                <w:color w:val="auto"/>
              </w:rPr>
              <w:t>200L</w:t>
            </w:r>
          </w:p>
        </w:tc>
        <w:tc>
          <w:tcPr>
            <w:tcW w:w="1096" w:type="dxa"/>
            <w:tcBorders>
              <w:bottom w:val="single" w:color="auto" w:sz="4" w:space="0"/>
            </w:tcBorders>
            <w:vAlign w:val="center"/>
          </w:tcPr>
          <w:p>
            <w:pPr>
              <w:pStyle w:val="140"/>
              <w:rPr>
                <w:color w:val="auto"/>
              </w:rPr>
            </w:pPr>
            <w:r>
              <w:rPr>
                <w:rFonts w:hint="eastAsia"/>
                <w:color w:val="auto"/>
              </w:rPr>
              <w:t>100%</w:t>
            </w:r>
          </w:p>
        </w:tc>
        <w:tc>
          <w:tcPr>
            <w:tcW w:w="1202" w:type="dxa"/>
            <w:tcBorders>
              <w:bottom w:val="single" w:color="auto" w:sz="4" w:space="0"/>
            </w:tcBorders>
            <w:vAlign w:val="center"/>
          </w:tcPr>
          <w:p>
            <w:pPr>
              <w:pStyle w:val="140"/>
              <w:rPr>
                <w:color w:val="auto"/>
              </w:rPr>
            </w:pPr>
            <w:r>
              <w:rPr>
                <w:rFonts w:hint="eastAsia"/>
                <w:color w:val="auto"/>
              </w:rPr>
              <w:t>54.5%</w:t>
            </w:r>
          </w:p>
        </w:tc>
        <w:tc>
          <w:tcPr>
            <w:tcW w:w="1066" w:type="dxa"/>
            <w:tcBorders>
              <w:bottom w:val="single" w:color="auto" w:sz="4" w:space="0"/>
            </w:tcBorders>
            <w:vAlign w:val="center"/>
          </w:tcPr>
          <w:p>
            <w:pPr>
              <w:pStyle w:val="140"/>
              <w:rPr>
                <w:color w:val="auto"/>
              </w:rPr>
            </w:pPr>
          </w:p>
        </w:tc>
        <w:tc>
          <w:tcPr>
            <w:tcW w:w="1134" w:type="dxa"/>
            <w:tcBorders>
              <w:bottom w:val="single" w:color="auto" w:sz="4" w:space="0"/>
            </w:tcBorders>
            <w:vAlign w:val="center"/>
          </w:tcPr>
          <w:p>
            <w:pPr>
              <w:pStyle w:val="140"/>
              <w:rPr>
                <w:color w:val="auto"/>
              </w:rPr>
            </w:pPr>
            <w:r>
              <w:rPr>
                <w:rFonts w:hint="eastAsia"/>
                <w:color w:val="auto"/>
              </w:rPr>
              <w:t>2h</w:t>
            </w:r>
          </w:p>
        </w:tc>
        <w:tc>
          <w:tcPr>
            <w:tcW w:w="283" w:type="dxa"/>
            <w:vMerge w:val="continue"/>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03" w:type="dxa"/>
            <w:vMerge w:val="continue"/>
            <w:tcBorders>
              <w:right w:val="nil"/>
            </w:tcBorders>
          </w:tcPr>
          <w:p>
            <w:pPr>
              <w:pStyle w:val="140"/>
              <w:rPr>
                <w:color w:val="auto"/>
              </w:rPr>
            </w:pPr>
          </w:p>
        </w:tc>
        <w:tc>
          <w:tcPr>
            <w:tcW w:w="5918" w:type="dxa"/>
            <w:gridSpan w:val="5"/>
            <w:tcBorders>
              <w:left w:val="nil"/>
              <w:right w:val="nil"/>
            </w:tcBorders>
          </w:tcPr>
          <w:p>
            <w:pPr>
              <w:pStyle w:val="140"/>
              <w:rPr>
                <w:color w:val="auto"/>
              </w:rPr>
            </w:pPr>
          </w:p>
        </w:tc>
        <w:tc>
          <w:tcPr>
            <w:tcW w:w="283" w:type="dxa"/>
            <w:vMerge w:val="continue"/>
            <w:tcBorders>
              <w:left w:val="nil"/>
            </w:tcBorders>
          </w:tcPr>
          <w:p>
            <w:pPr>
              <w:pStyle w:val="140"/>
              <w:rPr>
                <w:color w:val="auto"/>
              </w:rPr>
            </w:pPr>
          </w:p>
        </w:tc>
      </w:tr>
    </w:tbl>
    <w:p>
      <w:pPr>
        <w:pStyle w:val="150"/>
        <w:spacing w:line="400" w:lineRule="exact"/>
        <w:rPr>
          <w:color w:val="auto"/>
        </w:rPr>
      </w:pPr>
      <w:r>
        <w:rPr>
          <w:rFonts w:hint="eastAsia"/>
          <w:color w:val="auto"/>
        </w:rPr>
        <w:t xml:space="preserve">         </w:t>
      </w:r>
      <w:r>
        <w:rPr>
          <w:rFonts w:hint="eastAsia"/>
          <w:b/>
          <w:color w:val="auto"/>
          <w:sz w:val="32"/>
          <w:szCs w:val="32"/>
        </w:rPr>
        <w:t>↓</w:t>
      </w:r>
      <w:r>
        <w:rPr>
          <w:rFonts w:hint="eastAsia"/>
          <w:color w:val="auto"/>
          <w:szCs w:val="18"/>
        </w:rPr>
        <w:t>出料</w:t>
      </w:r>
      <w:r>
        <w:rPr>
          <w:rFonts w:hint="eastAsia"/>
          <w:color w:val="auto"/>
        </w:rPr>
        <w:t>：</w:t>
      </w:r>
      <w:r>
        <w:rPr>
          <w:b/>
          <w:color w:val="auto"/>
        </w:rPr>
        <w:t>27</w:t>
      </w:r>
      <w:r>
        <w:rPr>
          <w:rFonts w:hint="eastAsia"/>
          <w:b/>
          <w:color w:val="auto"/>
        </w:rPr>
        <w:t>kg</w:t>
      </w:r>
    </w:p>
    <w:p>
      <w:pPr>
        <w:pStyle w:val="140"/>
        <w:spacing w:line="240" w:lineRule="exact"/>
        <w:ind w:firstLine="560"/>
        <w:rPr>
          <w:color w:val="auto"/>
        </w:rPr>
      </w:pPr>
      <w:r>
        <w:rPr>
          <w:rFonts w:hint="eastAsia"/>
          <w:color w:val="auto"/>
        </w:rPr>
        <w:t>钾盐（含量：</w:t>
      </w:r>
      <w:r>
        <w:rPr>
          <w:color w:val="auto"/>
        </w:rPr>
        <w:t>99</w:t>
      </w:r>
      <w:r>
        <w:rPr>
          <w:rFonts w:hint="eastAsia"/>
          <w:color w:val="auto"/>
        </w:rPr>
        <w:t>%）</w:t>
      </w:r>
    </w:p>
    <w:p>
      <w:pPr>
        <w:pStyle w:val="150"/>
        <w:spacing w:line="400" w:lineRule="exact"/>
        <w:ind w:firstLine="560"/>
        <w:rPr>
          <w:color w:val="auto"/>
        </w:rPr>
      </w:pPr>
      <w:r>
        <w:rPr>
          <w:rFonts w:hint="eastAsia"/>
          <w:color w:val="auto"/>
        </w:rPr>
        <w:t xml:space="preserve">   </w:t>
      </w:r>
      <w:r>
        <w:rPr>
          <w:rFonts w:hint="eastAsia"/>
          <w:b/>
          <w:color w:val="auto"/>
          <w:sz w:val="32"/>
          <w:szCs w:val="32"/>
        </w:rPr>
        <w:t>↓</w:t>
      </w:r>
      <w:r>
        <w:rPr>
          <w:rFonts w:hint="eastAsia"/>
          <w:color w:val="auto"/>
        </w:rPr>
        <w:t>投料：</w:t>
      </w:r>
      <w:r>
        <w:rPr>
          <w:rFonts w:hint="eastAsia"/>
          <w:b/>
          <w:i/>
          <w:color w:val="auto"/>
        </w:rPr>
        <w:t>60kg</w:t>
      </w:r>
    </w:p>
    <w:tbl>
      <w:tblPr>
        <w:tblStyle w:val="43"/>
        <w:tblW w:w="6804"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420"/>
        <w:gridCol w:w="1096"/>
        <w:gridCol w:w="1275"/>
        <w:gridCol w:w="993"/>
        <w:gridCol w:w="1134"/>
        <w:gridCol w:w="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restart"/>
            <w:tcBorders>
              <w:right w:val="nil"/>
            </w:tcBorders>
          </w:tcPr>
          <w:p>
            <w:pPr>
              <w:pStyle w:val="140"/>
              <w:rPr>
                <w:color w:val="auto"/>
              </w:rPr>
            </w:pPr>
          </w:p>
        </w:tc>
        <w:tc>
          <w:tcPr>
            <w:tcW w:w="5918" w:type="dxa"/>
            <w:gridSpan w:val="5"/>
            <w:tcBorders>
              <w:left w:val="nil"/>
              <w:right w:val="nil"/>
            </w:tcBorders>
          </w:tcPr>
          <w:p>
            <w:pPr>
              <w:pStyle w:val="140"/>
              <w:rPr>
                <w:color w:val="auto"/>
              </w:rPr>
            </w:pPr>
            <w:r>
              <w:rPr>
                <w:rFonts w:hint="eastAsia"/>
                <w:color w:val="auto"/>
              </w:rPr>
              <w:t>裂解反应及净化</w:t>
            </w:r>
          </w:p>
        </w:tc>
        <w:tc>
          <w:tcPr>
            <w:tcW w:w="283" w:type="dxa"/>
            <w:vMerge w:val="restart"/>
            <w:tcBorders>
              <w:left w:val="nil"/>
            </w:tcBorders>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continue"/>
          </w:tcPr>
          <w:p>
            <w:pPr>
              <w:pStyle w:val="140"/>
              <w:rPr>
                <w:color w:val="auto"/>
              </w:rPr>
            </w:pPr>
          </w:p>
        </w:tc>
        <w:tc>
          <w:tcPr>
            <w:tcW w:w="1420" w:type="dxa"/>
            <w:vAlign w:val="center"/>
          </w:tcPr>
          <w:p>
            <w:pPr>
              <w:pStyle w:val="140"/>
              <w:rPr>
                <w:color w:val="auto"/>
              </w:rPr>
            </w:pPr>
            <w:r>
              <w:rPr>
                <w:rFonts w:hint="eastAsia"/>
                <w:color w:val="auto"/>
              </w:rPr>
              <w:t>旋转蒸发器</w:t>
            </w:r>
          </w:p>
        </w:tc>
        <w:tc>
          <w:tcPr>
            <w:tcW w:w="1096" w:type="dxa"/>
            <w:vAlign w:val="center"/>
          </w:tcPr>
          <w:p>
            <w:pPr>
              <w:pStyle w:val="140"/>
              <w:rPr>
                <w:color w:val="auto"/>
              </w:rPr>
            </w:pPr>
            <w:r>
              <w:rPr>
                <w:rFonts w:hint="eastAsia"/>
                <w:color w:val="auto"/>
              </w:rPr>
              <w:t>转化率</w:t>
            </w:r>
          </w:p>
        </w:tc>
        <w:tc>
          <w:tcPr>
            <w:tcW w:w="1275" w:type="dxa"/>
            <w:vAlign w:val="center"/>
          </w:tcPr>
          <w:p>
            <w:pPr>
              <w:pStyle w:val="140"/>
              <w:rPr>
                <w:color w:val="auto"/>
              </w:rPr>
            </w:pPr>
            <w:r>
              <w:rPr>
                <w:rFonts w:hint="eastAsia"/>
                <w:color w:val="auto"/>
              </w:rPr>
              <w:t>收率</w:t>
            </w:r>
          </w:p>
        </w:tc>
        <w:tc>
          <w:tcPr>
            <w:tcW w:w="993" w:type="dxa"/>
            <w:vAlign w:val="center"/>
          </w:tcPr>
          <w:p>
            <w:pPr>
              <w:pStyle w:val="140"/>
              <w:rPr>
                <w:color w:val="auto"/>
              </w:rPr>
            </w:pPr>
            <w:r>
              <w:rPr>
                <w:rFonts w:hint="eastAsia"/>
                <w:color w:val="auto"/>
              </w:rPr>
              <w:t>产率</w:t>
            </w:r>
          </w:p>
        </w:tc>
        <w:tc>
          <w:tcPr>
            <w:tcW w:w="1134" w:type="dxa"/>
            <w:vAlign w:val="center"/>
          </w:tcPr>
          <w:p>
            <w:pPr>
              <w:pStyle w:val="140"/>
              <w:rPr>
                <w:color w:val="auto"/>
              </w:rPr>
            </w:pPr>
            <w:r>
              <w:rPr>
                <w:rFonts w:hint="eastAsia"/>
                <w:color w:val="auto"/>
              </w:rPr>
              <w:t>反应时间</w:t>
            </w:r>
          </w:p>
        </w:tc>
        <w:tc>
          <w:tcPr>
            <w:tcW w:w="283" w:type="dxa"/>
            <w:vMerge w:val="continue"/>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dxa"/>
            <w:vMerge w:val="continue"/>
          </w:tcPr>
          <w:p>
            <w:pPr>
              <w:pStyle w:val="140"/>
              <w:rPr>
                <w:color w:val="auto"/>
              </w:rPr>
            </w:pPr>
          </w:p>
        </w:tc>
        <w:tc>
          <w:tcPr>
            <w:tcW w:w="1420" w:type="dxa"/>
            <w:tcBorders>
              <w:bottom w:val="single" w:color="auto" w:sz="4" w:space="0"/>
            </w:tcBorders>
            <w:vAlign w:val="center"/>
          </w:tcPr>
          <w:p>
            <w:pPr>
              <w:pStyle w:val="140"/>
              <w:rPr>
                <w:color w:val="auto"/>
              </w:rPr>
            </w:pPr>
            <w:r>
              <w:rPr>
                <w:rFonts w:hint="eastAsia"/>
                <w:color w:val="auto"/>
              </w:rPr>
              <w:t>5</w:t>
            </w:r>
            <w:r>
              <w:rPr>
                <w:color w:val="auto"/>
              </w:rPr>
              <w:t>0L</w:t>
            </w:r>
          </w:p>
        </w:tc>
        <w:tc>
          <w:tcPr>
            <w:tcW w:w="1096" w:type="dxa"/>
            <w:tcBorders>
              <w:bottom w:val="single" w:color="auto" w:sz="4" w:space="0"/>
            </w:tcBorders>
            <w:vAlign w:val="center"/>
          </w:tcPr>
          <w:p>
            <w:pPr>
              <w:pStyle w:val="140"/>
              <w:rPr>
                <w:color w:val="auto"/>
              </w:rPr>
            </w:pPr>
            <w:r>
              <w:rPr>
                <w:rFonts w:hint="eastAsia"/>
                <w:color w:val="auto"/>
              </w:rPr>
              <w:t>95%</w:t>
            </w:r>
          </w:p>
        </w:tc>
        <w:tc>
          <w:tcPr>
            <w:tcW w:w="1275" w:type="dxa"/>
            <w:tcBorders>
              <w:bottom w:val="single" w:color="auto" w:sz="4" w:space="0"/>
            </w:tcBorders>
            <w:vAlign w:val="center"/>
          </w:tcPr>
          <w:p>
            <w:pPr>
              <w:pStyle w:val="140"/>
              <w:rPr>
                <w:color w:val="auto"/>
              </w:rPr>
            </w:pPr>
            <w:r>
              <w:rPr>
                <w:rFonts w:hint="eastAsia"/>
                <w:color w:val="auto"/>
              </w:rPr>
              <w:t>50%</w:t>
            </w:r>
          </w:p>
        </w:tc>
        <w:tc>
          <w:tcPr>
            <w:tcW w:w="993" w:type="dxa"/>
            <w:tcBorders>
              <w:bottom w:val="single" w:color="auto" w:sz="4" w:space="0"/>
            </w:tcBorders>
            <w:vAlign w:val="center"/>
          </w:tcPr>
          <w:p>
            <w:pPr>
              <w:pStyle w:val="140"/>
              <w:rPr>
                <w:color w:val="auto"/>
              </w:rPr>
            </w:pPr>
            <w:r>
              <w:rPr>
                <w:rFonts w:hint="eastAsia"/>
                <w:color w:val="auto"/>
              </w:rPr>
              <w:t>18.2%</w:t>
            </w:r>
          </w:p>
        </w:tc>
        <w:tc>
          <w:tcPr>
            <w:tcW w:w="1134" w:type="dxa"/>
            <w:tcBorders>
              <w:bottom w:val="single" w:color="auto" w:sz="4" w:space="0"/>
            </w:tcBorders>
            <w:vAlign w:val="center"/>
          </w:tcPr>
          <w:p>
            <w:pPr>
              <w:pStyle w:val="140"/>
              <w:rPr>
                <w:color w:val="auto"/>
              </w:rPr>
            </w:pPr>
            <w:r>
              <w:rPr>
                <w:rFonts w:hint="eastAsia"/>
                <w:color w:val="auto"/>
              </w:rPr>
              <w:t>4h</w:t>
            </w:r>
          </w:p>
        </w:tc>
        <w:tc>
          <w:tcPr>
            <w:tcW w:w="283" w:type="dxa"/>
            <w:vMerge w:val="continue"/>
          </w:tcPr>
          <w:p>
            <w:pPr>
              <w:pStyle w:val="14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03" w:type="dxa"/>
            <w:vMerge w:val="continue"/>
            <w:tcBorders>
              <w:right w:val="nil"/>
            </w:tcBorders>
          </w:tcPr>
          <w:p>
            <w:pPr>
              <w:pStyle w:val="140"/>
              <w:rPr>
                <w:color w:val="auto"/>
              </w:rPr>
            </w:pPr>
          </w:p>
        </w:tc>
        <w:tc>
          <w:tcPr>
            <w:tcW w:w="5918" w:type="dxa"/>
            <w:gridSpan w:val="5"/>
            <w:tcBorders>
              <w:left w:val="nil"/>
              <w:right w:val="nil"/>
            </w:tcBorders>
          </w:tcPr>
          <w:p>
            <w:pPr>
              <w:pStyle w:val="140"/>
              <w:rPr>
                <w:color w:val="auto"/>
              </w:rPr>
            </w:pPr>
          </w:p>
        </w:tc>
        <w:tc>
          <w:tcPr>
            <w:tcW w:w="283" w:type="dxa"/>
            <w:vMerge w:val="continue"/>
            <w:tcBorders>
              <w:left w:val="nil"/>
            </w:tcBorders>
          </w:tcPr>
          <w:p>
            <w:pPr>
              <w:pStyle w:val="140"/>
              <w:rPr>
                <w:color w:val="auto"/>
              </w:rPr>
            </w:pPr>
          </w:p>
        </w:tc>
      </w:tr>
    </w:tbl>
    <w:p>
      <w:pPr>
        <w:pStyle w:val="150"/>
        <w:spacing w:line="400" w:lineRule="exact"/>
        <w:ind w:firstLine="560"/>
        <w:rPr>
          <w:color w:val="auto"/>
        </w:rPr>
      </w:pPr>
      <w:r>
        <w:rPr>
          <w:rFonts w:hint="eastAsia"/>
          <w:color w:val="auto"/>
        </w:rPr>
        <w:t xml:space="preserve">   </w:t>
      </w:r>
      <w:r>
        <w:rPr>
          <w:rFonts w:hint="eastAsia"/>
          <w:b/>
          <w:color w:val="auto"/>
          <w:sz w:val="32"/>
          <w:szCs w:val="32"/>
        </w:rPr>
        <w:t>↓</w:t>
      </w:r>
      <w:r>
        <w:rPr>
          <w:rFonts w:hint="eastAsia"/>
          <w:color w:val="auto"/>
        </w:rPr>
        <w:t>收料：20kg</w:t>
      </w:r>
    </w:p>
    <w:p>
      <w:pPr>
        <w:pStyle w:val="140"/>
        <w:spacing w:line="240" w:lineRule="exact"/>
        <w:ind w:firstLine="560"/>
        <w:rPr>
          <w:color w:val="auto"/>
        </w:rPr>
      </w:pPr>
      <w:r>
        <w:rPr>
          <w:rFonts w:hint="eastAsia"/>
          <w:color w:val="auto"/>
        </w:rPr>
        <w:t xml:space="preserve">   POPVE单体（含量：</w:t>
      </w:r>
      <w:r>
        <w:rPr>
          <w:color w:val="auto"/>
        </w:rPr>
        <w:t>99</w:t>
      </w:r>
      <w:r>
        <w:rPr>
          <w:rFonts w:hint="eastAsia"/>
          <w:color w:val="auto"/>
        </w:rPr>
        <w:t>%）</w:t>
      </w:r>
    </w:p>
    <w:p>
      <w:pPr>
        <w:pStyle w:val="146"/>
        <w:spacing w:before="31"/>
        <w:rPr>
          <w:rFonts w:ascii="Times New Roman" w:hAnsi="Times New Roman"/>
          <w:highlight w:val="yellow"/>
        </w:rPr>
      </w:pPr>
      <w:r>
        <w:rPr>
          <w:rFonts w:hint="eastAsia"/>
        </w:rPr>
        <w:t>图</w:t>
      </w:r>
      <w:r>
        <w:t>3.3.2</w:t>
      </w:r>
      <w:r>
        <w:rPr>
          <w:rFonts w:hint="eastAsia"/>
        </w:rPr>
        <w:t>-</w:t>
      </w:r>
      <w:r>
        <w:t>1</w:t>
      </w:r>
      <w:r>
        <w:rPr>
          <w:rFonts w:hint="eastAsia"/>
        </w:rPr>
        <w:t xml:space="preserve"> </w:t>
      </w:r>
      <w:r>
        <w:t xml:space="preserve">     </w:t>
      </w:r>
      <w:r>
        <w:rPr>
          <w:rFonts w:hint="eastAsia"/>
        </w:rPr>
        <w:t>项目POPVE车间物料串接及主要工艺参数示意图</w:t>
      </w:r>
    </w:p>
    <w:p>
      <w:pPr>
        <w:pStyle w:val="6"/>
        <w:tabs>
          <w:tab w:val="left" w:pos="879"/>
        </w:tabs>
      </w:pPr>
      <w:r>
        <w:rPr>
          <w:rFonts w:hint="eastAsia"/>
          <w:lang w:val="en-US" w:eastAsia="zh-CN"/>
        </w:rPr>
        <w:t>2.4</w:t>
      </w:r>
      <w:r>
        <w:rPr>
          <w:rFonts w:hint="eastAsia"/>
        </w:rPr>
        <w:t>.2.3  POPVE</w:t>
      </w:r>
      <w:r>
        <w:t>单体</w:t>
      </w:r>
      <w:r>
        <w:rPr>
          <w:rFonts w:hint="eastAsia"/>
        </w:rPr>
        <w:t>工艺流程及产污节点</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项目POPVE单体的工艺流程为HFPO聚合→(HFPO)3精馏→中和→干燥→粉碎→裂解→萃取→POPVE精馏。</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六氟环氧丙烷聚合</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反应釜中加入溶剂乙腈和渐进式卤化物催化剂，反应釜中所含物质在搅拌下加热至设定25℃，压力小于0.3MPa。将定量的六氟环氧丙烷送入聚合反应釜，反应废气（G2-1）经二级水洗+碱洗+二级活性炭处理，后经1根25m排气筒达标排放。</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待反应完成后，冷却至常温，经沉淀分层出底层有机层（粗产品(HFPO)3），该工段反应时间为3~4h。上层溶剂循环使用5次后，再送溶剂回收塔精馏回收（常压，温度60℃，操作周期12h），从塔顶冷凝器收集乙腈后继续使用，塔顶不凝气（G2-2）经二级水洗+1级碱洗+二级活性炭处理，后经1根25m排气筒达标排放，塔釜残液（S2-1）收集后送厂区等离子焚烧炉处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(HFPO)3精馏</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合粗产品(HFPO)3送1#精馏塔进行一次精馏（常压，120℃，20h）。塔顶分离出聚合产物中的轻组分（主要含2-全氟丙氧基丙酰氟,简称PPPF），经冷凝收集后作为副产品，塔釜液在1#精馏塔中进行二次精馏（常压，130℃，10h），塔顶分离的聚合产物经冷凝收集后送至中和反应槽。经二次精馏提纯后的(HFPO)3纯度在95%以上，利于控制裂解过程中除含氢醚外的其它杂质含量。经二次精馏后的精馏塔釜底物料（S2-2）装桶收集后送厂区等离子焚烧炉处理。一次、二次精馏不凝气（G2-3 、G2-4）经二级水洗+1级碱洗+二级活性炭处理，后经1根25m排气筒达标排放。</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(HFPO)3钾盐的制备与破碎</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用20%KOH水溶液将1#精馏塔精馏出的纯度大于95%的(HFPO)3中和至pH值为8~10，形成(HFPO)3钾盐水溶液，将改溶液送入真空烘箱（100~120℃）脱除水分得到钾盐固体，烘干过程产生的水蒸气直排。</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将钾盐固体送入破碎机进行粉碎，目的是为去除(HFPO)3钾盐块中的少量水分（盐块中包覆的水分对裂解影响大），破碎过程产生的粉尘（G2-5）经布袋除尘器处理，后经二级水洗+1级碱洗+二级活性炭处理。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(HFPO)3裂解</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将粉碎后的(HFPO)3钾盐粉末加入旋转蒸发器进一步干燥（油浴控温，温度160~180℃，10h）（水分含量控制在5ppm以下）。然后缓慢升高旋转蒸发器油浴温度裂解（温度190~220℃，微正压，4h）。裂解后产物为六氟环氧丙烷多聚体乙烯醚（CF3CF2CF2O(CF(CF3)CF2O)n-2CF=CF2，n≥3）的粗料，送萃取工段。反应废气（G2-6）经二级水洗+1级碱洗+二级活性炭处理，后经1根25m排气筒达标排放。裂后钾盐类残渣（S2-3）作为危废外委处置。</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⑤POPVE的萃取、精馏工艺</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OPVE采用萃取、精馏工艺进行提纯。在萃取槽中通入萃取剂（乙醇），萃取POPVE中的杂质（含氢醚单体），萃取相装入贮槽后再送入3#精馏塔回收乙醇（常压，80℃，12h）。经净化后的产品送2#精馏塔进一步提纯（常压，75℃，12h），提纯后的POPVE纯度达到在98%以上，产物送贮罐暂存。</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萃取剂精馏不凝气（G2-7）和2#精馏塔不凝气（G2-8）经二级水洗+1级碱洗+二级活性炭处理，后经1根25m排气筒达标排放。2#、3#精馏塔釜底液料（S2-5、S2-4）装桶收集后送厂区等离子焚烧炉处理。</w:t>
      </w:r>
    </w:p>
    <w:p>
      <w:pPr>
        <w:pStyle w:val="80"/>
        <w:spacing w:line="440" w:lineRule="exact"/>
        <w:ind w:left="0" w:lef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项目POPVE单体总工艺流程和产污环节见图3.3.2-1。</w:t>
      </w:r>
    </w:p>
    <w:p>
      <w:pPr>
        <w:pStyle w:val="140"/>
        <w:spacing w:line="240" w:lineRule="auto"/>
      </w:pPr>
      <w:r>
        <w:object>
          <v:shape id="_x0000_i1027" o:spt="75" type="#_x0000_t75" style="height:533.65pt;width:399pt;" o:ole="t" filled="f" o:preferrelative="t" stroked="f" coordsize="21600,21600">
            <v:path/>
            <v:fill on="f" focussize="0,0"/>
            <v:stroke on="f"/>
            <v:imagedata r:id="rId24" o:title=""/>
            <o:lock v:ext="edit" aspectratio="t"/>
            <w10:wrap type="none"/>
            <w10:anchorlock/>
          </v:shape>
          <o:OLEObject Type="Embed" ProgID="Visio.Drawing.11" ShapeID="_x0000_i1027" DrawAspect="Content" ObjectID="_1468075727" r:id="rId23">
            <o:LockedField>false</o:LockedField>
          </o:OLEObject>
        </w:object>
      </w:r>
    </w:p>
    <w:p>
      <w:pPr>
        <w:pStyle w:val="146"/>
        <w:spacing w:beforeLines="0"/>
        <w:ind w:firstLine="560"/>
      </w:pPr>
      <w:r>
        <w:rPr>
          <w:rFonts w:hint="eastAsia"/>
        </w:rPr>
        <w:t>图</w:t>
      </w:r>
      <w:r>
        <w:rPr>
          <w:rFonts w:hint="eastAsia"/>
          <w:lang w:val="en-US" w:eastAsia="zh-CN"/>
        </w:rPr>
        <w:t>2.4.2.3</w:t>
      </w:r>
      <w:r>
        <w:t>-1</w:t>
      </w:r>
      <w:r>
        <w:rPr>
          <w:rFonts w:hint="eastAsia"/>
        </w:rPr>
        <w:t xml:space="preserve">    POPVE</w:t>
      </w:r>
      <w:r>
        <w:t>单体</w:t>
      </w:r>
      <w:r>
        <w:rPr>
          <w:rFonts w:hint="eastAsia"/>
        </w:rPr>
        <w:t>工艺流程及产污节点图</w:t>
      </w:r>
    </w:p>
    <w:p>
      <w:pPr>
        <w:pStyle w:val="6"/>
        <w:tabs>
          <w:tab w:val="left" w:pos="879"/>
        </w:tabs>
      </w:pPr>
      <w:r>
        <w:rPr>
          <w:rFonts w:hint="eastAsia"/>
          <w:lang w:val="en-US" w:eastAsia="zh-CN"/>
        </w:rPr>
        <w:t>2.4.2.4</w:t>
      </w:r>
      <w:r>
        <w:rPr>
          <w:rFonts w:hint="eastAsia"/>
        </w:rPr>
        <w:t xml:space="preserve">  污染物产生及治理措施</w:t>
      </w:r>
    </w:p>
    <w:p>
      <w:pPr>
        <w:spacing w:line="500" w:lineRule="exact"/>
        <w:ind w:firstLine="560"/>
      </w:pPr>
      <w:r>
        <w:rPr>
          <w:rFonts w:hint="eastAsia" w:ascii="Times New Roman" w:hAnsi="Times New Roman" w:eastAsia="宋体" w:cs="Times New Roman"/>
          <w:kern w:val="2"/>
          <w:sz w:val="24"/>
          <w:szCs w:val="24"/>
          <w:lang w:val="en-US" w:eastAsia="zh-CN" w:bidi="ar-SA"/>
        </w:rPr>
        <w:t>项目POPVE实验污染物产生及治理情况如下表所示。</w:t>
      </w:r>
    </w:p>
    <w:p>
      <w:pPr>
        <w:pStyle w:val="146"/>
        <w:spacing w:before="31"/>
      </w:pPr>
      <w:r>
        <w:rPr>
          <w:rFonts w:hint="eastAsia"/>
        </w:rPr>
        <w:t>表</w:t>
      </w:r>
      <w:r>
        <w:rPr>
          <w:rFonts w:hint="eastAsia"/>
          <w:lang w:val="en-US" w:eastAsia="zh-CN"/>
        </w:rPr>
        <w:t>2.4.2.4-1</w:t>
      </w:r>
      <w:r>
        <w:rPr>
          <w:rFonts w:hint="eastAsia"/>
        </w:rPr>
        <w:t xml:space="preserve">        POPVE</w:t>
      </w:r>
      <w:r>
        <w:t>单体</w:t>
      </w:r>
      <w:r>
        <w:rPr>
          <w:rFonts w:hint="eastAsia"/>
        </w:rPr>
        <w:t>工艺流程及产污节点</w:t>
      </w:r>
    </w:p>
    <w:tbl>
      <w:tblPr>
        <w:tblStyle w:val="43"/>
        <w:tblW w:w="8700" w:type="dxa"/>
        <w:tblInd w:w="28"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09"/>
        <w:gridCol w:w="1559"/>
        <w:gridCol w:w="1418"/>
        <w:gridCol w:w="567"/>
        <w:gridCol w:w="2551"/>
        <w:gridCol w:w="567"/>
        <w:gridCol w:w="132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Align w:val="center"/>
          </w:tcPr>
          <w:p>
            <w:pPr>
              <w:pStyle w:val="140"/>
              <w:spacing w:line="240" w:lineRule="exact"/>
            </w:pPr>
            <w:r>
              <w:rPr>
                <w:rFonts w:hint="eastAsia"/>
              </w:rPr>
              <w:t>污染物类别</w:t>
            </w:r>
          </w:p>
        </w:tc>
        <w:tc>
          <w:tcPr>
            <w:tcW w:w="1559" w:type="dxa"/>
            <w:vAlign w:val="center"/>
          </w:tcPr>
          <w:p>
            <w:pPr>
              <w:pStyle w:val="140"/>
              <w:spacing w:line="240" w:lineRule="exact"/>
            </w:pPr>
            <w:r>
              <w:rPr>
                <w:rFonts w:hint="eastAsia"/>
              </w:rPr>
              <w:t>装置名称</w:t>
            </w:r>
          </w:p>
        </w:tc>
        <w:tc>
          <w:tcPr>
            <w:tcW w:w="1418" w:type="dxa"/>
            <w:vAlign w:val="center"/>
          </w:tcPr>
          <w:p>
            <w:pPr>
              <w:pStyle w:val="140"/>
              <w:spacing w:line="240" w:lineRule="exact"/>
            </w:pPr>
            <w:r>
              <w:rPr>
                <w:rFonts w:hint="eastAsia"/>
              </w:rPr>
              <w:t>废气来源及名称</w:t>
            </w:r>
          </w:p>
        </w:tc>
        <w:tc>
          <w:tcPr>
            <w:tcW w:w="567" w:type="dxa"/>
            <w:vAlign w:val="center"/>
          </w:tcPr>
          <w:p>
            <w:pPr>
              <w:pStyle w:val="140"/>
              <w:spacing w:line="240" w:lineRule="exact"/>
            </w:pPr>
            <w:r>
              <w:rPr>
                <w:rFonts w:hint="eastAsia"/>
              </w:rPr>
              <w:t>序号</w:t>
            </w:r>
          </w:p>
        </w:tc>
        <w:tc>
          <w:tcPr>
            <w:tcW w:w="2551" w:type="dxa"/>
            <w:vAlign w:val="center"/>
          </w:tcPr>
          <w:p>
            <w:pPr>
              <w:pStyle w:val="140"/>
              <w:spacing w:line="240" w:lineRule="exact"/>
            </w:pPr>
            <w:r>
              <w:rPr>
                <w:rFonts w:hint="eastAsia"/>
              </w:rPr>
              <w:t>产生源强及</w:t>
            </w:r>
          </w:p>
          <w:p>
            <w:pPr>
              <w:pStyle w:val="140"/>
              <w:spacing w:line="240" w:lineRule="exact"/>
            </w:pPr>
            <w:r>
              <w:rPr>
                <w:rFonts w:hint="eastAsia"/>
              </w:rPr>
              <w:t>主要污染物</w:t>
            </w:r>
          </w:p>
        </w:tc>
        <w:tc>
          <w:tcPr>
            <w:tcW w:w="567" w:type="dxa"/>
            <w:tcBorders>
              <w:right w:val="single" w:color="auto" w:sz="4" w:space="0"/>
            </w:tcBorders>
            <w:vAlign w:val="center"/>
          </w:tcPr>
          <w:p>
            <w:pPr>
              <w:pStyle w:val="140"/>
              <w:spacing w:line="240" w:lineRule="exact"/>
            </w:pPr>
            <w:r>
              <w:rPr>
                <w:rFonts w:hint="eastAsia"/>
              </w:rPr>
              <w:t>排放时间</w:t>
            </w:r>
          </w:p>
        </w:tc>
        <w:tc>
          <w:tcPr>
            <w:tcW w:w="1329" w:type="dxa"/>
            <w:tcBorders>
              <w:left w:val="single" w:color="auto" w:sz="4" w:space="0"/>
            </w:tcBorders>
            <w:vAlign w:val="center"/>
          </w:tcPr>
          <w:p>
            <w:pPr>
              <w:pStyle w:val="140"/>
              <w:spacing w:line="240" w:lineRule="exact"/>
            </w:pPr>
            <w:r>
              <w:rPr>
                <w:rFonts w:hint="eastAsia"/>
              </w:rPr>
              <w:t>拟采取的主要治理措施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09" w:type="dxa"/>
            <w:vMerge w:val="restart"/>
            <w:vAlign w:val="center"/>
          </w:tcPr>
          <w:p>
            <w:pPr>
              <w:pStyle w:val="140"/>
              <w:spacing w:line="240" w:lineRule="exact"/>
            </w:pPr>
            <w:r>
              <w:rPr>
                <w:rFonts w:hint="eastAsia"/>
              </w:rPr>
              <w:t>废气污染物</w:t>
            </w:r>
          </w:p>
        </w:tc>
        <w:tc>
          <w:tcPr>
            <w:tcW w:w="1559" w:type="dxa"/>
            <w:vAlign w:val="center"/>
          </w:tcPr>
          <w:p>
            <w:pPr>
              <w:pStyle w:val="140"/>
              <w:spacing w:line="240" w:lineRule="exact"/>
            </w:pPr>
            <w:r>
              <w:rPr>
                <w:rFonts w:hint="eastAsia"/>
              </w:rPr>
              <w:t>反应器</w:t>
            </w:r>
          </w:p>
        </w:tc>
        <w:tc>
          <w:tcPr>
            <w:tcW w:w="1418" w:type="dxa"/>
            <w:vAlign w:val="center"/>
          </w:tcPr>
          <w:p>
            <w:pPr>
              <w:pStyle w:val="140"/>
              <w:spacing w:line="240" w:lineRule="exact"/>
            </w:pPr>
            <w:r>
              <w:rPr>
                <w:rFonts w:hint="eastAsia"/>
              </w:rPr>
              <w:t>聚合不凝气</w:t>
            </w:r>
          </w:p>
        </w:tc>
        <w:tc>
          <w:tcPr>
            <w:tcW w:w="567" w:type="dxa"/>
            <w:vAlign w:val="center"/>
          </w:tcPr>
          <w:p>
            <w:pPr>
              <w:pStyle w:val="140"/>
              <w:spacing w:line="240" w:lineRule="exact"/>
            </w:pPr>
            <w:r>
              <w:rPr>
                <w:rFonts w:hint="eastAsia"/>
              </w:rPr>
              <w:t>G</w:t>
            </w:r>
            <w:r>
              <w:rPr>
                <w:rFonts w:hint="eastAsia"/>
                <w:vertAlign w:val="subscript"/>
              </w:rPr>
              <w:t>2-1</w:t>
            </w:r>
          </w:p>
        </w:tc>
        <w:tc>
          <w:tcPr>
            <w:tcW w:w="2551" w:type="dxa"/>
            <w:vAlign w:val="center"/>
          </w:tcPr>
          <w:p>
            <w:pPr>
              <w:pStyle w:val="140"/>
              <w:spacing w:line="240" w:lineRule="exact"/>
            </w:pPr>
            <w:r>
              <w:rPr>
                <w:rFonts w:hint="eastAsia"/>
              </w:rPr>
              <w:t>废气量：50m</w:t>
            </w:r>
            <w:r>
              <w:rPr>
                <w:vertAlign w:val="superscript"/>
              </w:rPr>
              <w:t>3</w:t>
            </w:r>
            <w:r>
              <w:rPr>
                <w:rFonts w:hint="eastAsia"/>
              </w:rPr>
              <w:t>/h</w:t>
            </w:r>
          </w:p>
          <w:p>
            <w:pPr>
              <w:pStyle w:val="140"/>
              <w:spacing w:line="240" w:lineRule="exact"/>
            </w:pPr>
            <w:r>
              <w:rPr>
                <w:rFonts w:hint="eastAsia"/>
              </w:rPr>
              <w:t>有机氟化物:10mg/m</w:t>
            </w:r>
            <w:r>
              <w:rPr>
                <w:rFonts w:hint="eastAsia"/>
                <w:vertAlign w:val="superscript"/>
              </w:rPr>
              <w:t>3</w:t>
            </w:r>
            <w:r>
              <w:rPr>
                <w:rFonts w:hint="eastAsia"/>
              </w:rPr>
              <w:t>,0.0005kg/h</w:t>
            </w:r>
          </w:p>
          <w:p>
            <w:pPr>
              <w:pStyle w:val="140"/>
              <w:spacing w:line="240" w:lineRule="exact"/>
            </w:pPr>
            <w:r>
              <w:rPr>
                <w:rFonts w:hint="eastAsia"/>
              </w:rPr>
              <w:t>PPPF:40mg/m</w:t>
            </w:r>
            <w:r>
              <w:rPr>
                <w:rFonts w:hint="eastAsia"/>
                <w:vertAlign w:val="superscript"/>
              </w:rPr>
              <w:t>3</w:t>
            </w:r>
            <w:r>
              <w:rPr>
                <w:rFonts w:hint="eastAsia"/>
              </w:rPr>
              <w:t>,0.002kg/h</w:t>
            </w:r>
          </w:p>
        </w:tc>
        <w:tc>
          <w:tcPr>
            <w:tcW w:w="567" w:type="dxa"/>
            <w:tcBorders>
              <w:right w:val="single" w:color="auto" w:sz="4" w:space="0"/>
            </w:tcBorders>
            <w:vAlign w:val="center"/>
          </w:tcPr>
          <w:p>
            <w:pPr>
              <w:pStyle w:val="140"/>
              <w:spacing w:line="240" w:lineRule="exact"/>
            </w:pPr>
            <w:r>
              <w:rPr>
                <w:rFonts w:hint="eastAsia"/>
              </w:rPr>
              <w:t>60h</w:t>
            </w:r>
          </w:p>
        </w:tc>
        <w:tc>
          <w:tcPr>
            <w:tcW w:w="1329" w:type="dxa"/>
            <w:vMerge w:val="restart"/>
            <w:tcBorders>
              <w:left w:val="single" w:color="auto" w:sz="4" w:space="0"/>
            </w:tcBorders>
            <w:vAlign w:val="center"/>
          </w:tcPr>
          <w:p>
            <w:pPr>
              <w:pStyle w:val="140"/>
              <w:spacing w:line="240" w:lineRule="exact"/>
            </w:pPr>
            <w:r>
              <w:rPr>
                <w:rFonts w:hint="eastAsia"/>
                <w:bCs/>
              </w:rPr>
              <w:t>经</w:t>
            </w:r>
            <w:r>
              <w:rPr>
                <w:bCs/>
              </w:rPr>
              <w:t>二级水洗+碱洗+二级活性炭处理</w:t>
            </w:r>
            <w:r>
              <w:rPr>
                <w:rFonts w:hint="eastAsia"/>
                <w:bCs/>
              </w:rPr>
              <w:t>，后经1根2</w:t>
            </w:r>
            <w:r>
              <w:rPr>
                <w:bCs/>
              </w:rPr>
              <w:t>5m排气筒达标排放</w:t>
            </w:r>
            <w:r>
              <w:rPr>
                <w:rFonts w:hint="eastAsia"/>
                <w:bCs/>
              </w:rPr>
              <w:t>（其中G</w:t>
            </w:r>
            <w:r>
              <w:rPr>
                <w:bCs/>
              </w:rPr>
              <w:t>2-5</w:t>
            </w:r>
            <w:r>
              <w:rPr>
                <w:rFonts w:hint="eastAsia"/>
              </w:rPr>
              <w:t>经设备自带的布袋除尘器处理后再进入</w:t>
            </w:r>
            <w:r>
              <w:rPr>
                <w:bCs/>
              </w:rPr>
              <w:t>二级水洗+碱洗+二级活性炭处理</w:t>
            </w:r>
            <w:r>
              <w:rPr>
                <w:rFonts w:hint="eastAsia"/>
                <w:bCs/>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溶剂回收罐冷凝器</w:t>
            </w:r>
          </w:p>
        </w:tc>
        <w:tc>
          <w:tcPr>
            <w:tcW w:w="1418" w:type="dxa"/>
            <w:vAlign w:val="center"/>
          </w:tcPr>
          <w:p>
            <w:pPr>
              <w:pStyle w:val="140"/>
              <w:spacing w:line="240" w:lineRule="exact"/>
            </w:pPr>
            <w:r>
              <w:rPr>
                <w:rFonts w:hint="eastAsia"/>
              </w:rPr>
              <w:t>溶剂回收不凝气</w:t>
            </w:r>
          </w:p>
        </w:tc>
        <w:tc>
          <w:tcPr>
            <w:tcW w:w="567" w:type="dxa"/>
            <w:vAlign w:val="center"/>
          </w:tcPr>
          <w:p>
            <w:pPr>
              <w:pStyle w:val="140"/>
              <w:spacing w:line="240" w:lineRule="exact"/>
            </w:pPr>
            <w:r>
              <w:rPr>
                <w:rFonts w:hint="eastAsia"/>
              </w:rPr>
              <w:t>G</w:t>
            </w:r>
            <w:r>
              <w:rPr>
                <w:rFonts w:hint="eastAsia"/>
                <w:vertAlign w:val="subscript"/>
              </w:rPr>
              <w:t>2-2</w:t>
            </w:r>
          </w:p>
        </w:tc>
        <w:tc>
          <w:tcPr>
            <w:tcW w:w="2551" w:type="dxa"/>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pPr>
            <w:r>
              <w:rPr>
                <w:rFonts w:hint="eastAsia"/>
              </w:rPr>
              <w:t>乙腈:500mg/m</w:t>
            </w:r>
            <w:r>
              <w:rPr>
                <w:rFonts w:hint="eastAsia"/>
                <w:vertAlign w:val="superscript"/>
              </w:rPr>
              <w:t>3</w:t>
            </w:r>
            <w:r>
              <w:rPr>
                <w:rFonts w:hint="eastAsia"/>
              </w:rPr>
              <w:t>, 0.0025kg/h</w:t>
            </w:r>
          </w:p>
        </w:tc>
        <w:tc>
          <w:tcPr>
            <w:tcW w:w="567" w:type="dxa"/>
            <w:tcBorders>
              <w:right w:val="single" w:color="auto" w:sz="4" w:space="0"/>
            </w:tcBorders>
            <w:vAlign w:val="center"/>
          </w:tcPr>
          <w:p>
            <w:pPr>
              <w:pStyle w:val="140"/>
              <w:spacing w:line="240" w:lineRule="exact"/>
            </w:pPr>
            <w:r>
              <w:rPr>
                <w:rFonts w:hint="eastAsia"/>
              </w:rPr>
              <w:t>144h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1#精馏塔冷凝器</w:t>
            </w:r>
          </w:p>
        </w:tc>
        <w:tc>
          <w:tcPr>
            <w:tcW w:w="1418" w:type="dxa"/>
            <w:vAlign w:val="center"/>
          </w:tcPr>
          <w:p>
            <w:pPr>
              <w:pStyle w:val="140"/>
              <w:spacing w:line="240" w:lineRule="exact"/>
            </w:pPr>
            <w:r>
              <w:rPr>
                <w:rFonts w:hint="eastAsia"/>
              </w:rPr>
              <w:t>一次精馏不凝气</w:t>
            </w:r>
          </w:p>
        </w:tc>
        <w:tc>
          <w:tcPr>
            <w:tcW w:w="567" w:type="dxa"/>
            <w:vAlign w:val="center"/>
          </w:tcPr>
          <w:p>
            <w:pPr>
              <w:pStyle w:val="140"/>
              <w:spacing w:line="240" w:lineRule="exact"/>
            </w:pPr>
            <w:r>
              <w:rPr>
                <w:rFonts w:hint="eastAsia"/>
              </w:rPr>
              <w:t>G</w:t>
            </w:r>
            <w:r>
              <w:rPr>
                <w:rFonts w:hint="eastAsia"/>
                <w:vertAlign w:val="subscript"/>
              </w:rPr>
              <w:t>2-3</w:t>
            </w:r>
          </w:p>
        </w:tc>
        <w:tc>
          <w:tcPr>
            <w:tcW w:w="2551" w:type="dxa"/>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pPr>
            <w:r>
              <w:rPr>
                <w:rFonts w:hint="eastAsia"/>
              </w:rPr>
              <w:t>PPPF: 70mg/m</w:t>
            </w:r>
            <w:r>
              <w:rPr>
                <w:rFonts w:hint="eastAsia"/>
                <w:vertAlign w:val="superscript"/>
              </w:rPr>
              <w:t>3</w:t>
            </w:r>
            <w:r>
              <w:rPr>
                <w:rFonts w:hint="eastAsia"/>
              </w:rPr>
              <w:t>, 0.00035kg/h</w:t>
            </w:r>
          </w:p>
        </w:tc>
        <w:tc>
          <w:tcPr>
            <w:tcW w:w="567" w:type="dxa"/>
            <w:tcBorders>
              <w:right w:val="single" w:color="auto" w:sz="4" w:space="0"/>
            </w:tcBorders>
            <w:vAlign w:val="center"/>
          </w:tcPr>
          <w:p>
            <w:pPr>
              <w:pStyle w:val="140"/>
              <w:spacing w:line="240" w:lineRule="exact"/>
            </w:pPr>
            <w:r>
              <w:rPr>
                <w:rFonts w:hint="eastAsia"/>
              </w:rPr>
              <w:t>90h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1#精馏塔冷凝器</w:t>
            </w:r>
          </w:p>
        </w:tc>
        <w:tc>
          <w:tcPr>
            <w:tcW w:w="1418" w:type="dxa"/>
            <w:vAlign w:val="center"/>
          </w:tcPr>
          <w:p>
            <w:pPr>
              <w:pStyle w:val="140"/>
              <w:spacing w:line="240" w:lineRule="exact"/>
            </w:pPr>
            <w:r>
              <w:rPr>
                <w:rFonts w:hint="eastAsia"/>
              </w:rPr>
              <w:t>二次精馏不凝气</w:t>
            </w:r>
          </w:p>
        </w:tc>
        <w:tc>
          <w:tcPr>
            <w:tcW w:w="567" w:type="dxa"/>
            <w:vAlign w:val="center"/>
          </w:tcPr>
          <w:p>
            <w:pPr>
              <w:pStyle w:val="140"/>
              <w:spacing w:line="240" w:lineRule="exact"/>
            </w:pPr>
            <w:r>
              <w:rPr>
                <w:rFonts w:hint="eastAsia"/>
              </w:rPr>
              <w:t>G</w:t>
            </w:r>
            <w:r>
              <w:rPr>
                <w:rFonts w:hint="eastAsia"/>
                <w:vertAlign w:val="subscript"/>
              </w:rPr>
              <w:t>2-4</w:t>
            </w:r>
          </w:p>
        </w:tc>
        <w:tc>
          <w:tcPr>
            <w:tcW w:w="2551" w:type="dxa"/>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pPr>
            <w:r>
              <w:rPr>
                <w:rFonts w:hint="eastAsia"/>
              </w:rPr>
              <w:t>PPPF: 50mg/m</w:t>
            </w:r>
            <w:r>
              <w:rPr>
                <w:rFonts w:hint="eastAsia"/>
                <w:vertAlign w:val="superscript"/>
              </w:rPr>
              <w:t>3</w:t>
            </w:r>
            <w:r>
              <w:rPr>
                <w:rFonts w:hint="eastAsia"/>
              </w:rPr>
              <w:t>, 0.0</w:t>
            </w:r>
            <w:r>
              <w:t>0</w:t>
            </w:r>
            <w:r>
              <w:rPr>
                <w:rFonts w:hint="eastAsia"/>
              </w:rPr>
              <w:t>025kg/h</w:t>
            </w:r>
          </w:p>
        </w:tc>
        <w:tc>
          <w:tcPr>
            <w:tcW w:w="567" w:type="dxa"/>
            <w:tcBorders>
              <w:right w:val="single" w:color="auto" w:sz="4" w:space="0"/>
            </w:tcBorders>
            <w:vAlign w:val="center"/>
          </w:tcPr>
          <w:p>
            <w:pPr>
              <w:pStyle w:val="140"/>
              <w:spacing w:line="240" w:lineRule="exact"/>
            </w:pPr>
            <w:r>
              <w:rPr>
                <w:rFonts w:hint="eastAsia"/>
              </w:rPr>
              <w:t>60h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709" w:type="dxa"/>
            <w:vMerge w:val="continue"/>
            <w:vAlign w:val="center"/>
          </w:tcPr>
          <w:p>
            <w:pPr>
              <w:pStyle w:val="140"/>
              <w:spacing w:line="240" w:lineRule="exact"/>
            </w:pPr>
          </w:p>
        </w:tc>
        <w:tc>
          <w:tcPr>
            <w:tcW w:w="1559" w:type="dxa"/>
            <w:tcBorders>
              <w:bottom w:val="single" w:color="auto" w:sz="6" w:space="0"/>
            </w:tcBorders>
            <w:vAlign w:val="center"/>
          </w:tcPr>
          <w:p>
            <w:pPr>
              <w:pStyle w:val="140"/>
              <w:spacing w:line="240" w:lineRule="exact"/>
            </w:pPr>
            <w:r>
              <w:rPr>
                <w:rFonts w:hint="eastAsia"/>
              </w:rPr>
              <w:t>旋转蒸发器</w:t>
            </w:r>
          </w:p>
        </w:tc>
        <w:tc>
          <w:tcPr>
            <w:tcW w:w="1418" w:type="dxa"/>
            <w:tcBorders>
              <w:bottom w:val="single" w:color="auto" w:sz="6" w:space="0"/>
            </w:tcBorders>
            <w:vAlign w:val="center"/>
          </w:tcPr>
          <w:p>
            <w:pPr>
              <w:pStyle w:val="140"/>
              <w:spacing w:line="240" w:lineRule="exact"/>
            </w:pPr>
            <w:r>
              <w:rPr>
                <w:rFonts w:hint="eastAsia"/>
              </w:rPr>
              <w:t>反应废气</w:t>
            </w:r>
          </w:p>
        </w:tc>
        <w:tc>
          <w:tcPr>
            <w:tcW w:w="567" w:type="dxa"/>
            <w:tcBorders>
              <w:bottom w:val="single" w:color="auto" w:sz="6" w:space="0"/>
            </w:tcBorders>
            <w:vAlign w:val="center"/>
          </w:tcPr>
          <w:p>
            <w:pPr>
              <w:pStyle w:val="140"/>
              <w:spacing w:line="240" w:lineRule="exact"/>
            </w:pPr>
            <w:r>
              <w:rPr>
                <w:rFonts w:hint="eastAsia"/>
              </w:rPr>
              <w:t>G</w:t>
            </w:r>
            <w:r>
              <w:rPr>
                <w:rFonts w:hint="eastAsia"/>
                <w:vertAlign w:val="subscript"/>
              </w:rPr>
              <w:t>2-6</w:t>
            </w:r>
          </w:p>
        </w:tc>
        <w:tc>
          <w:tcPr>
            <w:tcW w:w="2551" w:type="dxa"/>
            <w:tcBorders>
              <w:bottom w:val="single" w:color="auto" w:sz="6" w:space="0"/>
            </w:tcBorders>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rPr>
                <w:szCs w:val="18"/>
              </w:rPr>
            </w:pPr>
            <w:r>
              <w:rPr>
                <w:rFonts w:hint="eastAsia"/>
              </w:rPr>
              <w:t>CO</w:t>
            </w:r>
            <w:r>
              <w:rPr>
                <w:rFonts w:hint="eastAsia"/>
                <w:vertAlign w:val="subscript"/>
              </w:rPr>
              <w:t>2</w:t>
            </w:r>
            <w:r>
              <w:rPr>
                <w:rFonts w:hint="eastAsia"/>
              </w:rPr>
              <w:t>：11333 mg/m</w:t>
            </w:r>
            <w:r>
              <w:rPr>
                <w:rFonts w:hint="eastAsia"/>
                <w:vertAlign w:val="superscript"/>
              </w:rPr>
              <w:t>3</w:t>
            </w:r>
            <w:r>
              <w:rPr>
                <w:rFonts w:hint="eastAsia"/>
              </w:rPr>
              <w:t>, 0.17kg/h</w:t>
            </w:r>
          </w:p>
        </w:tc>
        <w:tc>
          <w:tcPr>
            <w:tcW w:w="567" w:type="dxa"/>
            <w:tcBorders>
              <w:bottom w:val="single" w:color="auto" w:sz="6" w:space="0"/>
              <w:right w:val="single" w:color="auto" w:sz="4" w:space="0"/>
            </w:tcBorders>
            <w:vAlign w:val="center"/>
          </w:tcPr>
          <w:p>
            <w:pPr>
              <w:pStyle w:val="140"/>
              <w:spacing w:line="240" w:lineRule="exact"/>
            </w:pPr>
            <w:r>
              <w:rPr>
                <w:rFonts w:hint="eastAsia"/>
              </w:rPr>
              <w:t>60h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tcBorders>
              <w:top w:val="single" w:color="auto" w:sz="6" w:space="0"/>
              <w:bottom w:val="single" w:color="auto" w:sz="6" w:space="0"/>
            </w:tcBorders>
            <w:vAlign w:val="center"/>
          </w:tcPr>
          <w:p>
            <w:pPr>
              <w:pStyle w:val="140"/>
              <w:spacing w:line="240" w:lineRule="exact"/>
            </w:pPr>
            <w:r>
              <w:rPr>
                <w:rFonts w:hint="eastAsia"/>
              </w:rPr>
              <w:t>乙醇精馏塔</w:t>
            </w:r>
          </w:p>
          <w:p>
            <w:pPr>
              <w:pStyle w:val="140"/>
              <w:spacing w:line="240" w:lineRule="exact"/>
            </w:pPr>
            <w:r>
              <w:rPr>
                <w:rFonts w:hint="eastAsia"/>
              </w:rPr>
              <w:t>冷凝器</w:t>
            </w:r>
          </w:p>
        </w:tc>
        <w:tc>
          <w:tcPr>
            <w:tcW w:w="1418" w:type="dxa"/>
            <w:tcBorders>
              <w:top w:val="single" w:color="auto" w:sz="6" w:space="0"/>
              <w:bottom w:val="single" w:color="auto" w:sz="6" w:space="0"/>
            </w:tcBorders>
            <w:vAlign w:val="center"/>
          </w:tcPr>
          <w:p>
            <w:pPr>
              <w:pStyle w:val="140"/>
              <w:spacing w:line="240" w:lineRule="exact"/>
            </w:pPr>
            <w:r>
              <w:rPr>
                <w:rFonts w:hint="eastAsia"/>
              </w:rPr>
              <w:t>乙醇回收不凝气</w:t>
            </w:r>
          </w:p>
        </w:tc>
        <w:tc>
          <w:tcPr>
            <w:tcW w:w="567" w:type="dxa"/>
            <w:tcBorders>
              <w:top w:val="single" w:color="auto" w:sz="6" w:space="0"/>
              <w:bottom w:val="single" w:color="auto" w:sz="6" w:space="0"/>
            </w:tcBorders>
            <w:vAlign w:val="center"/>
          </w:tcPr>
          <w:p>
            <w:pPr>
              <w:pStyle w:val="140"/>
              <w:spacing w:line="240" w:lineRule="exact"/>
            </w:pPr>
            <w:r>
              <w:rPr>
                <w:rFonts w:hint="eastAsia"/>
              </w:rPr>
              <w:t>G</w:t>
            </w:r>
            <w:r>
              <w:rPr>
                <w:rFonts w:hint="eastAsia"/>
                <w:vertAlign w:val="subscript"/>
              </w:rPr>
              <w:t>2-7</w:t>
            </w:r>
          </w:p>
        </w:tc>
        <w:tc>
          <w:tcPr>
            <w:tcW w:w="2551" w:type="dxa"/>
            <w:tcBorders>
              <w:top w:val="single" w:color="auto" w:sz="6" w:space="0"/>
              <w:bottom w:val="single" w:color="auto" w:sz="6" w:space="0"/>
            </w:tcBorders>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pPr>
            <w:r>
              <w:rPr>
                <w:rFonts w:hint="eastAsia"/>
              </w:rPr>
              <w:t>乙醇: 400mg/m</w:t>
            </w:r>
            <w:r>
              <w:rPr>
                <w:rFonts w:hint="eastAsia"/>
                <w:vertAlign w:val="superscript"/>
              </w:rPr>
              <w:t>3</w:t>
            </w:r>
            <w:r>
              <w:rPr>
                <w:rFonts w:hint="eastAsia"/>
              </w:rPr>
              <w:t>, 0.002kg/h</w:t>
            </w:r>
          </w:p>
        </w:tc>
        <w:tc>
          <w:tcPr>
            <w:tcW w:w="567" w:type="dxa"/>
            <w:tcBorders>
              <w:top w:val="single" w:color="auto" w:sz="6" w:space="0"/>
              <w:bottom w:val="single" w:color="auto" w:sz="6" w:space="0"/>
              <w:right w:val="single" w:color="auto" w:sz="4" w:space="0"/>
            </w:tcBorders>
            <w:vAlign w:val="center"/>
          </w:tcPr>
          <w:p>
            <w:pPr>
              <w:pStyle w:val="140"/>
              <w:spacing w:line="240" w:lineRule="exact"/>
            </w:pPr>
            <w:r>
              <w:rPr>
                <w:rFonts w:hint="eastAsia"/>
              </w:rPr>
              <w:t>150h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POPVE精馏塔</w:t>
            </w:r>
          </w:p>
          <w:p>
            <w:pPr>
              <w:pStyle w:val="140"/>
              <w:spacing w:line="240" w:lineRule="exact"/>
            </w:pPr>
            <w:r>
              <w:rPr>
                <w:rFonts w:hint="eastAsia"/>
              </w:rPr>
              <w:t>冷凝器</w:t>
            </w:r>
          </w:p>
        </w:tc>
        <w:tc>
          <w:tcPr>
            <w:tcW w:w="1418" w:type="dxa"/>
            <w:vAlign w:val="center"/>
          </w:tcPr>
          <w:p>
            <w:pPr>
              <w:pStyle w:val="140"/>
              <w:spacing w:line="240" w:lineRule="exact"/>
            </w:pPr>
            <w:r>
              <w:rPr>
                <w:rFonts w:hint="eastAsia"/>
              </w:rPr>
              <w:t>POPVE精馏不凝气</w:t>
            </w:r>
          </w:p>
        </w:tc>
        <w:tc>
          <w:tcPr>
            <w:tcW w:w="567" w:type="dxa"/>
            <w:vAlign w:val="center"/>
          </w:tcPr>
          <w:p>
            <w:pPr>
              <w:pStyle w:val="140"/>
              <w:spacing w:line="240" w:lineRule="exact"/>
            </w:pPr>
            <w:r>
              <w:rPr>
                <w:rFonts w:hint="eastAsia"/>
              </w:rPr>
              <w:t>G</w:t>
            </w:r>
            <w:r>
              <w:rPr>
                <w:rFonts w:hint="eastAsia"/>
                <w:vertAlign w:val="subscript"/>
              </w:rPr>
              <w:t>2-8</w:t>
            </w:r>
          </w:p>
        </w:tc>
        <w:tc>
          <w:tcPr>
            <w:tcW w:w="2551" w:type="dxa"/>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rPr>
                <w:szCs w:val="18"/>
              </w:rPr>
            </w:pPr>
            <w:r>
              <w:rPr>
                <w:rFonts w:hint="eastAsia"/>
              </w:rPr>
              <w:t>乙醇: 400mg/m</w:t>
            </w:r>
            <w:r>
              <w:rPr>
                <w:rFonts w:hint="eastAsia"/>
                <w:vertAlign w:val="superscript"/>
              </w:rPr>
              <w:t>3</w:t>
            </w:r>
            <w:r>
              <w:rPr>
                <w:rFonts w:hint="eastAsia"/>
              </w:rPr>
              <w:t>, 0.002kg/h</w:t>
            </w:r>
          </w:p>
        </w:tc>
        <w:tc>
          <w:tcPr>
            <w:tcW w:w="567" w:type="dxa"/>
            <w:tcBorders>
              <w:right w:val="single" w:color="auto" w:sz="4" w:space="0"/>
            </w:tcBorders>
            <w:vAlign w:val="center"/>
          </w:tcPr>
          <w:p>
            <w:pPr>
              <w:pStyle w:val="140"/>
              <w:spacing w:line="240" w:lineRule="exact"/>
            </w:pPr>
            <w:r>
              <w:rPr>
                <w:rFonts w:hint="eastAsia"/>
              </w:rPr>
              <w:t>150h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破碎机</w:t>
            </w:r>
          </w:p>
        </w:tc>
        <w:tc>
          <w:tcPr>
            <w:tcW w:w="1418" w:type="dxa"/>
            <w:vAlign w:val="center"/>
          </w:tcPr>
          <w:p>
            <w:pPr>
              <w:pStyle w:val="140"/>
              <w:spacing w:line="240" w:lineRule="exact"/>
            </w:pPr>
            <w:r>
              <w:rPr>
                <w:rFonts w:hint="eastAsia"/>
              </w:rPr>
              <w:t>破碎废气</w:t>
            </w:r>
          </w:p>
        </w:tc>
        <w:tc>
          <w:tcPr>
            <w:tcW w:w="567" w:type="dxa"/>
            <w:vAlign w:val="center"/>
          </w:tcPr>
          <w:p>
            <w:pPr>
              <w:pStyle w:val="140"/>
              <w:spacing w:line="240" w:lineRule="exact"/>
            </w:pPr>
            <w:r>
              <w:rPr>
                <w:rFonts w:hint="eastAsia"/>
              </w:rPr>
              <w:t>G</w:t>
            </w:r>
            <w:r>
              <w:rPr>
                <w:rFonts w:hint="eastAsia"/>
                <w:vertAlign w:val="subscript"/>
              </w:rPr>
              <w:t>2-5</w:t>
            </w:r>
          </w:p>
        </w:tc>
        <w:tc>
          <w:tcPr>
            <w:tcW w:w="2551" w:type="dxa"/>
            <w:vAlign w:val="center"/>
          </w:tcPr>
          <w:p>
            <w:pPr>
              <w:pStyle w:val="140"/>
              <w:spacing w:line="240" w:lineRule="exact"/>
              <w:rPr>
                <w:szCs w:val="18"/>
              </w:rPr>
            </w:pPr>
            <w:r>
              <w:rPr>
                <w:rFonts w:hint="eastAsia"/>
                <w:szCs w:val="18"/>
              </w:rPr>
              <w:t>废气量： 60m</w:t>
            </w:r>
            <w:r>
              <w:rPr>
                <w:rFonts w:hint="eastAsia"/>
                <w:szCs w:val="18"/>
                <w:vertAlign w:val="superscript"/>
              </w:rPr>
              <w:t>3</w:t>
            </w:r>
            <w:r>
              <w:rPr>
                <w:rFonts w:hint="eastAsia"/>
                <w:szCs w:val="18"/>
              </w:rPr>
              <w:t>/h</w:t>
            </w:r>
          </w:p>
          <w:p>
            <w:pPr>
              <w:pStyle w:val="140"/>
              <w:spacing w:line="240" w:lineRule="exact"/>
              <w:rPr>
                <w:szCs w:val="18"/>
              </w:rPr>
            </w:pPr>
            <w:r>
              <w:rPr>
                <w:rFonts w:hint="eastAsia"/>
              </w:rPr>
              <w:t>KF粉尘: 150mg/m</w:t>
            </w:r>
            <w:r>
              <w:rPr>
                <w:rFonts w:hint="eastAsia"/>
                <w:vertAlign w:val="superscript"/>
              </w:rPr>
              <w:t>3</w:t>
            </w:r>
            <w:r>
              <w:rPr>
                <w:rFonts w:hint="eastAsia"/>
              </w:rPr>
              <w:t>, 0.009kg/h</w:t>
            </w:r>
          </w:p>
        </w:tc>
        <w:tc>
          <w:tcPr>
            <w:tcW w:w="567" w:type="dxa"/>
            <w:tcBorders>
              <w:right w:val="single" w:color="auto" w:sz="4" w:space="0"/>
            </w:tcBorders>
            <w:vAlign w:val="center"/>
          </w:tcPr>
          <w:p>
            <w:pPr>
              <w:pStyle w:val="140"/>
              <w:spacing w:line="240" w:lineRule="exact"/>
            </w:pPr>
            <w:r>
              <w:rPr>
                <w:rFonts w:hint="eastAsia"/>
              </w:rPr>
              <w:t>750h</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restart"/>
            <w:vAlign w:val="center"/>
          </w:tcPr>
          <w:p>
            <w:pPr>
              <w:pStyle w:val="140"/>
              <w:spacing w:line="240" w:lineRule="exact"/>
            </w:pPr>
            <w:r>
              <w:t>废水污染物</w:t>
            </w:r>
          </w:p>
        </w:tc>
        <w:tc>
          <w:tcPr>
            <w:tcW w:w="1559" w:type="dxa"/>
            <w:vAlign w:val="center"/>
          </w:tcPr>
          <w:p>
            <w:pPr>
              <w:pStyle w:val="140"/>
              <w:spacing w:line="240" w:lineRule="exact"/>
            </w:pPr>
            <w:r>
              <w:rPr>
                <w:rFonts w:hint="eastAsia"/>
              </w:rPr>
              <w:t>MOVE碱洗塔</w:t>
            </w:r>
          </w:p>
        </w:tc>
        <w:tc>
          <w:tcPr>
            <w:tcW w:w="1418" w:type="dxa"/>
            <w:vAlign w:val="center"/>
          </w:tcPr>
          <w:p>
            <w:pPr>
              <w:pStyle w:val="140"/>
              <w:spacing w:line="240" w:lineRule="exact"/>
            </w:pPr>
            <w:r>
              <w:rPr>
                <w:rFonts w:hint="eastAsia"/>
              </w:rPr>
              <w:t>碱洗塔废水</w:t>
            </w:r>
          </w:p>
        </w:tc>
        <w:tc>
          <w:tcPr>
            <w:tcW w:w="567" w:type="dxa"/>
            <w:vAlign w:val="center"/>
          </w:tcPr>
          <w:p>
            <w:pPr>
              <w:pStyle w:val="140"/>
              <w:spacing w:line="240" w:lineRule="exact"/>
            </w:pPr>
            <w:r>
              <w:rPr>
                <w:rFonts w:hint="eastAsia"/>
              </w:rPr>
              <w:t>W</w:t>
            </w:r>
            <w:r>
              <w:rPr>
                <w:rFonts w:hint="eastAsia"/>
                <w:vertAlign w:val="subscript"/>
              </w:rPr>
              <w:t>2-1</w:t>
            </w:r>
          </w:p>
        </w:tc>
        <w:tc>
          <w:tcPr>
            <w:tcW w:w="2551" w:type="dxa"/>
            <w:vAlign w:val="center"/>
          </w:tcPr>
          <w:p>
            <w:pPr>
              <w:pStyle w:val="140"/>
              <w:spacing w:line="240" w:lineRule="exact"/>
              <w:rPr>
                <w:szCs w:val="18"/>
              </w:rPr>
            </w:pPr>
            <w:r>
              <w:rPr>
                <w:rFonts w:hint="eastAsia"/>
                <w:szCs w:val="18"/>
              </w:rPr>
              <w:t>废水量：0.5t/d</w:t>
            </w:r>
          </w:p>
          <w:p>
            <w:pPr>
              <w:pStyle w:val="140"/>
              <w:spacing w:line="240" w:lineRule="exact"/>
              <w:rPr>
                <w:szCs w:val="18"/>
              </w:rPr>
            </w:pPr>
            <w:r>
              <w:rPr>
                <w:rFonts w:hint="eastAsia"/>
                <w:szCs w:val="18"/>
              </w:rPr>
              <w:t>pH＞10</w:t>
            </w:r>
          </w:p>
          <w:p>
            <w:pPr>
              <w:pStyle w:val="140"/>
              <w:spacing w:line="240" w:lineRule="exact"/>
              <w:rPr>
                <w:szCs w:val="18"/>
              </w:rPr>
            </w:pPr>
            <w:r>
              <w:rPr>
                <w:rFonts w:hint="eastAsia"/>
                <w:szCs w:val="18"/>
              </w:rPr>
              <w:t>氟化物：1000mg/L</w:t>
            </w:r>
          </w:p>
        </w:tc>
        <w:tc>
          <w:tcPr>
            <w:tcW w:w="567" w:type="dxa"/>
            <w:tcBorders>
              <w:right w:val="single" w:color="auto" w:sz="4" w:space="0"/>
            </w:tcBorders>
            <w:vAlign w:val="center"/>
          </w:tcPr>
          <w:p>
            <w:pPr>
              <w:pStyle w:val="140"/>
              <w:spacing w:line="240" w:lineRule="exact"/>
            </w:pPr>
            <w:r>
              <w:rPr>
                <w:rFonts w:hint="eastAsia"/>
              </w:rPr>
              <w:t>251d</w:t>
            </w:r>
          </w:p>
        </w:tc>
        <w:tc>
          <w:tcPr>
            <w:tcW w:w="1329" w:type="dxa"/>
            <w:vMerge w:val="restart"/>
            <w:tcBorders>
              <w:left w:val="single" w:color="auto" w:sz="4" w:space="0"/>
            </w:tcBorders>
            <w:vAlign w:val="center"/>
          </w:tcPr>
          <w:p>
            <w:pPr>
              <w:pStyle w:val="140"/>
              <w:spacing w:line="240" w:lineRule="exact"/>
            </w:pPr>
            <w:r>
              <w:rPr>
                <w:rFonts w:hint="eastAsia"/>
              </w:rPr>
              <w:t>送厂区现有含氟废水站进行处理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POPVE、新MOVE试验楼</w:t>
            </w:r>
          </w:p>
        </w:tc>
        <w:tc>
          <w:tcPr>
            <w:tcW w:w="1418" w:type="dxa"/>
            <w:vAlign w:val="center"/>
          </w:tcPr>
          <w:p>
            <w:pPr>
              <w:pStyle w:val="140"/>
              <w:spacing w:line="240" w:lineRule="exact"/>
            </w:pPr>
            <w:r>
              <w:rPr>
                <w:rFonts w:hint="eastAsia"/>
              </w:rPr>
              <w:t>设备、地坪冲洗水</w:t>
            </w:r>
          </w:p>
        </w:tc>
        <w:tc>
          <w:tcPr>
            <w:tcW w:w="567" w:type="dxa"/>
            <w:vAlign w:val="center"/>
          </w:tcPr>
          <w:p>
            <w:pPr>
              <w:pStyle w:val="140"/>
              <w:spacing w:line="240" w:lineRule="exact"/>
            </w:pPr>
            <w:r>
              <w:rPr>
                <w:rFonts w:hint="eastAsia"/>
              </w:rPr>
              <w:t>W</w:t>
            </w:r>
            <w:r>
              <w:rPr>
                <w:rFonts w:hint="eastAsia"/>
                <w:vertAlign w:val="subscript"/>
              </w:rPr>
              <w:t>2-2</w:t>
            </w:r>
          </w:p>
        </w:tc>
        <w:tc>
          <w:tcPr>
            <w:tcW w:w="2551" w:type="dxa"/>
            <w:vAlign w:val="center"/>
          </w:tcPr>
          <w:p>
            <w:pPr>
              <w:pStyle w:val="140"/>
              <w:spacing w:line="240" w:lineRule="exact"/>
              <w:rPr>
                <w:szCs w:val="18"/>
              </w:rPr>
            </w:pPr>
            <w:r>
              <w:rPr>
                <w:rFonts w:hint="eastAsia"/>
                <w:szCs w:val="18"/>
              </w:rPr>
              <w:t>废水量：2t/d</w:t>
            </w:r>
          </w:p>
          <w:p>
            <w:pPr>
              <w:pStyle w:val="140"/>
              <w:spacing w:line="240" w:lineRule="exact"/>
              <w:rPr>
                <w:szCs w:val="18"/>
              </w:rPr>
            </w:pPr>
            <w:r>
              <w:rPr>
                <w:rFonts w:hint="eastAsia"/>
                <w:szCs w:val="18"/>
              </w:rPr>
              <w:t>pH＞10</w:t>
            </w:r>
          </w:p>
          <w:p>
            <w:pPr>
              <w:pStyle w:val="140"/>
              <w:spacing w:line="240" w:lineRule="exact"/>
              <w:rPr>
                <w:szCs w:val="18"/>
              </w:rPr>
            </w:pPr>
            <w:r>
              <w:rPr>
                <w:rFonts w:hint="eastAsia"/>
                <w:szCs w:val="18"/>
              </w:rPr>
              <w:t>氟化物：200mg/L</w:t>
            </w:r>
          </w:p>
        </w:tc>
        <w:tc>
          <w:tcPr>
            <w:tcW w:w="567" w:type="dxa"/>
            <w:tcBorders>
              <w:right w:val="single" w:color="auto" w:sz="4" w:space="0"/>
            </w:tcBorders>
            <w:vAlign w:val="center"/>
          </w:tcPr>
          <w:p>
            <w:pPr>
              <w:pStyle w:val="140"/>
              <w:spacing w:line="240" w:lineRule="exact"/>
            </w:pPr>
            <w:r>
              <w:rPr>
                <w:rFonts w:hint="eastAsia"/>
              </w:rPr>
              <w:t>251d</w:t>
            </w:r>
          </w:p>
        </w:tc>
        <w:tc>
          <w:tcPr>
            <w:tcW w:w="1329" w:type="dxa"/>
            <w:vMerge w:val="continue"/>
            <w:tcBorders>
              <w:left w:val="single" w:color="auto" w:sz="4" w:space="0"/>
            </w:tcBorders>
            <w:vAlign w:val="center"/>
          </w:tcPr>
          <w:p>
            <w:pPr>
              <w:pStyle w:val="140"/>
              <w:spacing w:line="240" w:lineRule="exact"/>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restart"/>
            <w:vAlign w:val="center"/>
          </w:tcPr>
          <w:p>
            <w:pPr>
              <w:pStyle w:val="140"/>
              <w:spacing w:line="240" w:lineRule="exact"/>
            </w:pPr>
            <w:r>
              <w:rPr>
                <w:rFonts w:hint="eastAsia"/>
              </w:rPr>
              <w:t>固体废物</w:t>
            </w:r>
          </w:p>
        </w:tc>
        <w:tc>
          <w:tcPr>
            <w:tcW w:w="1559" w:type="dxa"/>
            <w:vAlign w:val="center"/>
          </w:tcPr>
          <w:p>
            <w:pPr>
              <w:pStyle w:val="140"/>
              <w:spacing w:line="240" w:lineRule="exact"/>
            </w:pPr>
            <w:r>
              <w:rPr>
                <w:rFonts w:hint="eastAsia"/>
              </w:rPr>
              <w:t>乙腈回收釜</w:t>
            </w:r>
          </w:p>
        </w:tc>
        <w:tc>
          <w:tcPr>
            <w:tcW w:w="1418" w:type="dxa"/>
            <w:vAlign w:val="center"/>
          </w:tcPr>
          <w:p>
            <w:pPr>
              <w:pStyle w:val="140"/>
              <w:spacing w:line="240" w:lineRule="exact"/>
            </w:pPr>
            <w:r>
              <w:rPr>
                <w:rFonts w:hint="eastAsia"/>
              </w:rPr>
              <w:t>溶剂回收残液</w:t>
            </w:r>
          </w:p>
        </w:tc>
        <w:tc>
          <w:tcPr>
            <w:tcW w:w="567" w:type="dxa"/>
            <w:vAlign w:val="center"/>
          </w:tcPr>
          <w:p>
            <w:pPr>
              <w:pStyle w:val="140"/>
              <w:spacing w:line="240" w:lineRule="exact"/>
            </w:pPr>
            <w:r>
              <w:rPr>
                <w:rFonts w:hint="eastAsia"/>
              </w:rPr>
              <w:t>S</w:t>
            </w:r>
            <w:r>
              <w:rPr>
                <w:rFonts w:hint="eastAsia"/>
                <w:vertAlign w:val="subscript"/>
              </w:rPr>
              <w:t>2-1</w:t>
            </w:r>
          </w:p>
        </w:tc>
        <w:tc>
          <w:tcPr>
            <w:tcW w:w="2551" w:type="dxa"/>
            <w:vAlign w:val="center"/>
          </w:tcPr>
          <w:p>
            <w:pPr>
              <w:pStyle w:val="140"/>
              <w:spacing w:line="240" w:lineRule="exact"/>
              <w:rPr>
                <w:szCs w:val="18"/>
              </w:rPr>
            </w:pPr>
            <w:r>
              <w:rPr>
                <w:rFonts w:hint="eastAsia"/>
                <w:szCs w:val="18"/>
              </w:rPr>
              <w:t>废液量：0.21t/a</w:t>
            </w:r>
          </w:p>
          <w:p>
            <w:pPr>
              <w:pStyle w:val="140"/>
              <w:spacing w:line="240" w:lineRule="exact"/>
              <w:rPr>
                <w:szCs w:val="18"/>
              </w:rPr>
            </w:pPr>
            <w:r>
              <w:rPr>
                <w:rFonts w:hint="eastAsia"/>
              </w:rPr>
              <w:t>87% CuCl、13%乙腈</w:t>
            </w:r>
          </w:p>
        </w:tc>
        <w:tc>
          <w:tcPr>
            <w:tcW w:w="567" w:type="dxa"/>
            <w:tcBorders>
              <w:right w:val="single" w:color="auto" w:sz="4" w:space="0"/>
            </w:tcBorders>
            <w:vAlign w:val="center"/>
          </w:tcPr>
          <w:p>
            <w:pPr>
              <w:pStyle w:val="140"/>
              <w:spacing w:line="240" w:lineRule="exact"/>
              <w:rPr>
                <w:spacing w:val="-4"/>
              </w:rPr>
            </w:pPr>
            <w:r>
              <w:rPr>
                <w:rFonts w:hint="eastAsia"/>
                <w:spacing w:val="-4"/>
              </w:rPr>
              <w:t>---</w:t>
            </w:r>
          </w:p>
        </w:tc>
        <w:tc>
          <w:tcPr>
            <w:tcW w:w="1329" w:type="dxa"/>
            <w:tcBorders>
              <w:left w:val="single" w:color="auto" w:sz="4" w:space="0"/>
            </w:tcBorders>
            <w:vAlign w:val="center"/>
          </w:tcPr>
          <w:p>
            <w:pPr>
              <w:pStyle w:val="140"/>
              <w:spacing w:line="240" w:lineRule="exact"/>
              <w:rPr>
                <w:spacing w:val="-4"/>
              </w:rPr>
            </w:pPr>
            <w:r>
              <w:rPr>
                <w:rFonts w:hint="eastAsia"/>
              </w:rPr>
              <w:t>送厂区等离子焚烧炉处理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三聚物回收塔</w:t>
            </w:r>
          </w:p>
        </w:tc>
        <w:tc>
          <w:tcPr>
            <w:tcW w:w="1418" w:type="dxa"/>
            <w:vAlign w:val="center"/>
          </w:tcPr>
          <w:p>
            <w:pPr>
              <w:pStyle w:val="140"/>
              <w:spacing w:line="240" w:lineRule="exact"/>
            </w:pPr>
            <w:r>
              <w:rPr>
                <w:rFonts w:hint="eastAsia"/>
              </w:rPr>
              <w:t>精馏残液</w:t>
            </w:r>
          </w:p>
        </w:tc>
        <w:tc>
          <w:tcPr>
            <w:tcW w:w="567" w:type="dxa"/>
            <w:vAlign w:val="center"/>
          </w:tcPr>
          <w:p>
            <w:pPr>
              <w:pStyle w:val="140"/>
              <w:spacing w:line="240" w:lineRule="exact"/>
            </w:pPr>
            <w:r>
              <w:rPr>
                <w:rFonts w:hint="eastAsia"/>
              </w:rPr>
              <w:t>S</w:t>
            </w:r>
            <w:r>
              <w:rPr>
                <w:rFonts w:hint="eastAsia"/>
                <w:vertAlign w:val="subscript"/>
              </w:rPr>
              <w:t>2-2</w:t>
            </w:r>
          </w:p>
        </w:tc>
        <w:tc>
          <w:tcPr>
            <w:tcW w:w="2551" w:type="dxa"/>
            <w:vAlign w:val="center"/>
          </w:tcPr>
          <w:p>
            <w:pPr>
              <w:pStyle w:val="140"/>
              <w:spacing w:line="240" w:lineRule="exact"/>
              <w:rPr>
                <w:szCs w:val="18"/>
              </w:rPr>
            </w:pPr>
            <w:r>
              <w:rPr>
                <w:rFonts w:hint="eastAsia"/>
                <w:szCs w:val="18"/>
              </w:rPr>
              <w:t>废液量：0.59t/a</w:t>
            </w:r>
          </w:p>
          <w:p>
            <w:pPr>
              <w:pStyle w:val="140"/>
              <w:spacing w:line="240" w:lineRule="exact"/>
            </w:pPr>
            <w:r>
              <w:rPr>
                <w:rFonts w:hint="eastAsia"/>
              </w:rPr>
              <w:t>99%多聚物</w:t>
            </w:r>
          </w:p>
        </w:tc>
        <w:tc>
          <w:tcPr>
            <w:tcW w:w="567" w:type="dxa"/>
            <w:tcBorders>
              <w:right w:val="single" w:color="auto" w:sz="4" w:space="0"/>
            </w:tcBorders>
            <w:vAlign w:val="center"/>
          </w:tcPr>
          <w:p>
            <w:pPr>
              <w:pStyle w:val="140"/>
              <w:spacing w:line="240" w:lineRule="exact"/>
              <w:rPr>
                <w:spacing w:val="-4"/>
              </w:rPr>
            </w:pPr>
            <w:r>
              <w:rPr>
                <w:rFonts w:hint="eastAsia"/>
                <w:spacing w:val="-4"/>
              </w:rPr>
              <w:t>---</w:t>
            </w:r>
          </w:p>
        </w:tc>
        <w:tc>
          <w:tcPr>
            <w:tcW w:w="1329" w:type="dxa"/>
            <w:tcBorders>
              <w:left w:val="single" w:color="auto" w:sz="4" w:space="0"/>
            </w:tcBorders>
            <w:vAlign w:val="center"/>
          </w:tcPr>
          <w:p>
            <w:pPr>
              <w:pStyle w:val="140"/>
              <w:spacing w:line="240" w:lineRule="exact"/>
              <w:rPr>
                <w:spacing w:val="-4"/>
              </w:rPr>
            </w:pPr>
            <w:r>
              <w:rPr>
                <w:rFonts w:hint="eastAsia"/>
              </w:rPr>
              <w:t>送厂区等离子焚烧炉处理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旋转蒸发器</w:t>
            </w:r>
          </w:p>
        </w:tc>
        <w:tc>
          <w:tcPr>
            <w:tcW w:w="1418" w:type="dxa"/>
            <w:vAlign w:val="center"/>
          </w:tcPr>
          <w:p>
            <w:pPr>
              <w:pStyle w:val="140"/>
              <w:spacing w:line="240" w:lineRule="exact"/>
            </w:pPr>
            <w:r>
              <w:rPr>
                <w:rFonts w:hint="eastAsia"/>
              </w:rPr>
              <w:t>反应残渣</w:t>
            </w:r>
          </w:p>
        </w:tc>
        <w:tc>
          <w:tcPr>
            <w:tcW w:w="567" w:type="dxa"/>
            <w:vAlign w:val="center"/>
          </w:tcPr>
          <w:p>
            <w:pPr>
              <w:pStyle w:val="140"/>
              <w:spacing w:line="240" w:lineRule="exact"/>
            </w:pPr>
            <w:r>
              <w:rPr>
                <w:rFonts w:hint="eastAsia"/>
              </w:rPr>
              <w:t>S</w:t>
            </w:r>
            <w:r>
              <w:rPr>
                <w:rFonts w:hint="eastAsia"/>
                <w:vertAlign w:val="subscript"/>
              </w:rPr>
              <w:t>2-3</w:t>
            </w:r>
          </w:p>
        </w:tc>
        <w:tc>
          <w:tcPr>
            <w:tcW w:w="2551" w:type="dxa"/>
            <w:vAlign w:val="center"/>
          </w:tcPr>
          <w:p>
            <w:pPr>
              <w:pStyle w:val="140"/>
              <w:spacing w:line="240" w:lineRule="exact"/>
              <w:rPr>
                <w:szCs w:val="18"/>
              </w:rPr>
            </w:pPr>
            <w:r>
              <w:rPr>
                <w:rFonts w:hint="eastAsia"/>
                <w:szCs w:val="18"/>
              </w:rPr>
              <w:t>废液量：0.39t/a</w:t>
            </w:r>
          </w:p>
          <w:p>
            <w:pPr>
              <w:pStyle w:val="140"/>
              <w:spacing w:line="240" w:lineRule="exact"/>
            </w:pPr>
            <w:r>
              <w:rPr>
                <w:rFonts w:hint="eastAsia"/>
              </w:rPr>
              <w:t>钾盐</w:t>
            </w:r>
          </w:p>
        </w:tc>
        <w:tc>
          <w:tcPr>
            <w:tcW w:w="567" w:type="dxa"/>
            <w:tcBorders>
              <w:right w:val="single" w:color="auto" w:sz="4" w:space="0"/>
            </w:tcBorders>
            <w:vAlign w:val="center"/>
          </w:tcPr>
          <w:p>
            <w:pPr>
              <w:pStyle w:val="140"/>
              <w:spacing w:line="240" w:lineRule="exact"/>
              <w:rPr>
                <w:spacing w:val="-4"/>
              </w:rPr>
            </w:pPr>
            <w:r>
              <w:rPr>
                <w:rFonts w:hint="eastAsia"/>
                <w:spacing w:val="-4"/>
              </w:rPr>
              <w:t>---</w:t>
            </w:r>
          </w:p>
        </w:tc>
        <w:tc>
          <w:tcPr>
            <w:tcW w:w="1329" w:type="dxa"/>
            <w:tcBorders>
              <w:left w:val="single" w:color="auto" w:sz="4" w:space="0"/>
            </w:tcBorders>
            <w:vAlign w:val="center"/>
          </w:tcPr>
          <w:p>
            <w:pPr>
              <w:pStyle w:val="140"/>
              <w:spacing w:line="240" w:lineRule="exact"/>
              <w:rPr>
                <w:spacing w:val="-4"/>
              </w:rPr>
            </w:pPr>
            <w:r>
              <w:rPr>
                <w:rFonts w:hint="eastAsia"/>
              </w:rPr>
              <w:t>外委有资质的危废处置单位处置</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乙醇精馏塔</w:t>
            </w:r>
          </w:p>
        </w:tc>
        <w:tc>
          <w:tcPr>
            <w:tcW w:w="1418" w:type="dxa"/>
            <w:vAlign w:val="center"/>
          </w:tcPr>
          <w:p>
            <w:pPr>
              <w:pStyle w:val="140"/>
              <w:spacing w:line="240" w:lineRule="exact"/>
            </w:pPr>
            <w:r>
              <w:rPr>
                <w:rFonts w:hint="eastAsia"/>
              </w:rPr>
              <w:t>精馏残液</w:t>
            </w:r>
          </w:p>
        </w:tc>
        <w:tc>
          <w:tcPr>
            <w:tcW w:w="567" w:type="dxa"/>
            <w:vAlign w:val="center"/>
          </w:tcPr>
          <w:p>
            <w:pPr>
              <w:pStyle w:val="140"/>
              <w:spacing w:line="240" w:lineRule="exact"/>
            </w:pPr>
            <w:r>
              <w:rPr>
                <w:rFonts w:hint="eastAsia"/>
              </w:rPr>
              <w:t>S</w:t>
            </w:r>
            <w:r>
              <w:rPr>
                <w:rFonts w:hint="eastAsia"/>
                <w:vertAlign w:val="subscript"/>
              </w:rPr>
              <w:t>2-4</w:t>
            </w:r>
          </w:p>
        </w:tc>
        <w:tc>
          <w:tcPr>
            <w:tcW w:w="2551" w:type="dxa"/>
            <w:vAlign w:val="center"/>
          </w:tcPr>
          <w:p>
            <w:pPr>
              <w:pStyle w:val="140"/>
              <w:spacing w:line="240" w:lineRule="exact"/>
              <w:rPr>
                <w:szCs w:val="18"/>
              </w:rPr>
            </w:pPr>
            <w:r>
              <w:rPr>
                <w:rFonts w:hint="eastAsia"/>
                <w:szCs w:val="18"/>
              </w:rPr>
              <w:t>废液量：0.23t/a</w:t>
            </w:r>
          </w:p>
          <w:p>
            <w:pPr>
              <w:pStyle w:val="140"/>
              <w:spacing w:line="240" w:lineRule="exact"/>
            </w:pPr>
            <w:r>
              <w:rPr>
                <w:rFonts w:hint="eastAsia"/>
              </w:rPr>
              <w:t>55%多聚物、45%乙醇</w:t>
            </w:r>
          </w:p>
        </w:tc>
        <w:tc>
          <w:tcPr>
            <w:tcW w:w="567" w:type="dxa"/>
            <w:tcBorders>
              <w:right w:val="single" w:color="auto" w:sz="4" w:space="0"/>
            </w:tcBorders>
            <w:vAlign w:val="center"/>
          </w:tcPr>
          <w:p>
            <w:pPr>
              <w:pStyle w:val="140"/>
              <w:spacing w:line="240" w:lineRule="exact"/>
              <w:rPr>
                <w:spacing w:val="-4"/>
              </w:rPr>
            </w:pPr>
            <w:r>
              <w:rPr>
                <w:rFonts w:hint="eastAsia"/>
                <w:spacing w:val="-4"/>
              </w:rPr>
              <w:t>---</w:t>
            </w:r>
          </w:p>
        </w:tc>
        <w:tc>
          <w:tcPr>
            <w:tcW w:w="1329" w:type="dxa"/>
            <w:tcBorders>
              <w:left w:val="single" w:color="auto" w:sz="4" w:space="0"/>
            </w:tcBorders>
            <w:vAlign w:val="center"/>
          </w:tcPr>
          <w:p>
            <w:pPr>
              <w:pStyle w:val="140"/>
              <w:spacing w:line="240" w:lineRule="exact"/>
              <w:rPr>
                <w:spacing w:val="-4"/>
              </w:rPr>
            </w:pPr>
            <w:r>
              <w:rPr>
                <w:rFonts w:hint="eastAsia"/>
              </w:rPr>
              <w:t>送厂区等离子焚烧炉处理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Merge w:val="continue"/>
            <w:vAlign w:val="center"/>
          </w:tcPr>
          <w:p>
            <w:pPr>
              <w:pStyle w:val="140"/>
              <w:spacing w:line="240" w:lineRule="exact"/>
            </w:pPr>
          </w:p>
        </w:tc>
        <w:tc>
          <w:tcPr>
            <w:tcW w:w="1559" w:type="dxa"/>
            <w:vAlign w:val="center"/>
          </w:tcPr>
          <w:p>
            <w:pPr>
              <w:pStyle w:val="140"/>
              <w:spacing w:line="240" w:lineRule="exact"/>
            </w:pPr>
            <w:r>
              <w:rPr>
                <w:rFonts w:hint="eastAsia"/>
              </w:rPr>
              <w:t>POPVE精馏塔</w:t>
            </w:r>
          </w:p>
        </w:tc>
        <w:tc>
          <w:tcPr>
            <w:tcW w:w="1418" w:type="dxa"/>
            <w:vAlign w:val="center"/>
          </w:tcPr>
          <w:p>
            <w:pPr>
              <w:pStyle w:val="140"/>
              <w:spacing w:line="240" w:lineRule="exact"/>
            </w:pPr>
            <w:r>
              <w:rPr>
                <w:rFonts w:hint="eastAsia"/>
              </w:rPr>
              <w:t>精馏残液</w:t>
            </w:r>
          </w:p>
        </w:tc>
        <w:tc>
          <w:tcPr>
            <w:tcW w:w="567" w:type="dxa"/>
            <w:vAlign w:val="center"/>
          </w:tcPr>
          <w:p>
            <w:pPr>
              <w:pStyle w:val="140"/>
              <w:spacing w:line="240" w:lineRule="exact"/>
            </w:pPr>
            <w:r>
              <w:rPr>
                <w:rFonts w:hint="eastAsia"/>
              </w:rPr>
              <w:t>S</w:t>
            </w:r>
            <w:r>
              <w:rPr>
                <w:rFonts w:hint="eastAsia"/>
                <w:vertAlign w:val="subscript"/>
              </w:rPr>
              <w:t>2-5</w:t>
            </w:r>
          </w:p>
        </w:tc>
        <w:tc>
          <w:tcPr>
            <w:tcW w:w="2551" w:type="dxa"/>
            <w:vAlign w:val="center"/>
          </w:tcPr>
          <w:p>
            <w:pPr>
              <w:pStyle w:val="140"/>
              <w:spacing w:line="240" w:lineRule="exact"/>
              <w:rPr>
                <w:szCs w:val="18"/>
              </w:rPr>
            </w:pPr>
            <w:r>
              <w:rPr>
                <w:rFonts w:hint="eastAsia"/>
                <w:szCs w:val="18"/>
              </w:rPr>
              <w:t>废液量：0.03t/a</w:t>
            </w:r>
          </w:p>
          <w:p>
            <w:pPr>
              <w:pStyle w:val="140"/>
              <w:spacing w:line="240" w:lineRule="exact"/>
              <w:rPr>
                <w:szCs w:val="18"/>
              </w:rPr>
            </w:pPr>
            <w:r>
              <w:rPr>
                <w:rFonts w:hint="eastAsia"/>
              </w:rPr>
              <w:t>99%多聚物</w:t>
            </w:r>
          </w:p>
        </w:tc>
        <w:tc>
          <w:tcPr>
            <w:tcW w:w="567" w:type="dxa"/>
            <w:tcBorders>
              <w:right w:val="single" w:color="auto" w:sz="4" w:space="0"/>
            </w:tcBorders>
            <w:vAlign w:val="center"/>
          </w:tcPr>
          <w:p>
            <w:pPr>
              <w:pStyle w:val="140"/>
              <w:spacing w:line="240" w:lineRule="exact"/>
              <w:rPr>
                <w:spacing w:val="-4"/>
              </w:rPr>
            </w:pPr>
            <w:r>
              <w:rPr>
                <w:rFonts w:hint="eastAsia"/>
                <w:spacing w:val="-4"/>
              </w:rPr>
              <w:t>---</w:t>
            </w:r>
          </w:p>
        </w:tc>
        <w:tc>
          <w:tcPr>
            <w:tcW w:w="1329" w:type="dxa"/>
            <w:tcBorders>
              <w:left w:val="single" w:color="auto" w:sz="4" w:space="0"/>
            </w:tcBorders>
            <w:vAlign w:val="center"/>
          </w:tcPr>
          <w:p>
            <w:pPr>
              <w:pStyle w:val="140"/>
              <w:spacing w:line="240" w:lineRule="exact"/>
              <w:rPr>
                <w:spacing w:val="-4"/>
              </w:rPr>
            </w:pPr>
            <w:r>
              <w:rPr>
                <w:rFonts w:hint="eastAsia"/>
              </w:rPr>
              <w:t>送厂区等离子焚烧炉处理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0" w:hRule="atLeast"/>
        </w:trPr>
        <w:tc>
          <w:tcPr>
            <w:tcW w:w="709" w:type="dxa"/>
            <w:vAlign w:val="center"/>
          </w:tcPr>
          <w:p>
            <w:pPr>
              <w:pStyle w:val="140"/>
              <w:spacing w:line="240" w:lineRule="exact"/>
            </w:pPr>
            <w:r>
              <w:rPr>
                <w:rFonts w:hint="eastAsia"/>
              </w:rPr>
              <w:t>副产品</w:t>
            </w:r>
          </w:p>
        </w:tc>
        <w:tc>
          <w:tcPr>
            <w:tcW w:w="1559" w:type="dxa"/>
            <w:vAlign w:val="center"/>
          </w:tcPr>
          <w:p>
            <w:pPr>
              <w:pStyle w:val="140"/>
              <w:spacing w:line="240" w:lineRule="exact"/>
            </w:pPr>
            <w:r>
              <w:rPr>
                <w:rFonts w:hint="eastAsia"/>
              </w:rPr>
              <w:t>水洗塔</w:t>
            </w:r>
          </w:p>
        </w:tc>
        <w:tc>
          <w:tcPr>
            <w:tcW w:w="1418" w:type="dxa"/>
            <w:vAlign w:val="center"/>
          </w:tcPr>
          <w:p>
            <w:pPr>
              <w:pStyle w:val="140"/>
              <w:spacing w:line="240" w:lineRule="exact"/>
            </w:pPr>
            <w:r>
              <w:rPr>
                <w:rFonts w:hint="eastAsia"/>
              </w:rPr>
              <w:t>废酸</w:t>
            </w:r>
          </w:p>
        </w:tc>
        <w:tc>
          <w:tcPr>
            <w:tcW w:w="567" w:type="dxa"/>
            <w:vAlign w:val="center"/>
          </w:tcPr>
          <w:p>
            <w:pPr>
              <w:pStyle w:val="140"/>
              <w:spacing w:line="240" w:lineRule="exact"/>
            </w:pPr>
            <w:r>
              <w:rPr>
                <w:rFonts w:hint="eastAsia"/>
              </w:rPr>
              <w:t>-</w:t>
            </w:r>
          </w:p>
        </w:tc>
        <w:tc>
          <w:tcPr>
            <w:tcW w:w="2551" w:type="dxa"/>
            <w:vAlign w:val="center"/>
          </w:tcPr>
          <w:p>
            <w:pPr>
              <w:pStyle w:val="140"/>
              <w:spacing w:line="240" w:lineRule="exact"/>
              <w:rPr>
                <w:szCs w:val="18"/>
              </w:rPr>
            </w:pPr>
            <w:r>
              <w:rPr>
                <w:rFonts w:hint="eastAsia"/>
                <w:szCs w:val="18"/>
              </w:rPr>
              <w:t>1</w:t>
            </w:r>
            <w:r>
              <w:rPr>
                <w:szCs w:val="18"/>
              </w:rPr>
              <w:t>5</w:t>
            </w:r>
            <w:r>
              <w:rPr>
                <w:rFonts w:hint="eastAsia"/>
                <w:szCs w:val="18"/>
              </w:rPr>
              <w:t>%氢氟酸，1</w:t>
            </w:r>
            <w:r>
              <w:rPr>
                <w:szCs w:val="18"/>
              </w:rPr>
              <w:t>0</w:t>
            </w:r>
            <w:r>
              <w:rPr>
                <w:rFonts w:hint="eastAsia"/>
                <w:szCs w:val="18"/>
              </w:rPr>
              <w:t>t</w:t>
            </w:r>
            <w:r>
              <w:rPr>
                <w:szCs w:val="18"/>
              </w:rPr>
              <w:t>/a</w:t>
            </w:r>
          </w:p>
        </w:tc>
        <w:tc>
          <w:tcPr>
            <w:tcW w:w="567" w:type="dxa"/>
            <w:tcBorders>
              <w:right w:val="single" w:color="auto" w:sz="4" w:space="0"/>
            </w:tcBorders>
            <w:vAlign w:val="center"/>
          </w:tcPr>
          <w:p>
            <w:pPr>
              <w:pStyle w:val="140"/>
              <w:spacing w:line="240" w:lineRule="exact"/>
              <w:rPr>
                <w:spacing w:val="-4"/>
              </w:rPr>
            </w:pPr>
            <w:r>
              <w:rPr>
                <w:rFonts w:hint="eastAsia"/>
                <w:spacing w:val="-4"/>
              </w:rPr>
              <w:t>-</w:t>
            </w:r>
          </w:p>
        </w:tc>
        <w:tc>
          <w:tcPr>
            <w:tcW w:w="1329" w:type="dxa"/>
            <w:tcBorders>
              <w:left w:val="single" w:color="auto" w:sz="4" w:space="0"/>
            </w:tcBorders>
            <w:vAlign w:val="center"/>
          </w:tcPr>
          <w:p>
            <w:pPr>
              <w:pStyle w:val="140"/>
              <w:spacing w:line="240" w:lineRule="exact"/>
            </w:pPr>
            <w:r>
              <w:rPr>
                <w:rFonts w:hint="eastAsia"/>
              </w:rPr>
              <w:t>外售</w:t>
            </w:r>
          </w:p>
        </w:tc>
      </w:tr>
    </w:tbl>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w:t>
      </w:r>
      <w:r>
        <w:rPr>
          <w:rFonts w:hint="eastAsia" w:ascii="Times New Roman" w:hAnsi="Times New Roman" w:eastAsia="宋体" w:cs="Times New Roman"/>
          <w:kern w:val="2"/>
          <w:sz w:val="24"/>
          <w:szCs w:val="24"/>
          <w:lang w:val="en-US" w:eastAsia="zh-CN" w:bidi="ar-SA"/>
        </w:rPr>
        <w:t>.3  全氟甲氧基乙烯基醚（MOVE）单体中试生产线</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w:t>
      </w:r>
      <w:r>
        <w:rPr>
          <w:rFonts w:hint="eastAsia" w:ascii="Times New Roman" w:hAnsi="Times New Roman" w:eastAsia="宋体" w:cs="Times New Roman"/>
          <w:kern w:val="2"/>
          <w:sz w:val="24"/>
          <w:szCs w:val="24"/>
          <w:lang w:val="en-US" w:eastAsia="zh-CN" w:bidi="ar-SA"/>
        </w:rPr>
        <w:t>.3.1  MOVE单体中试生产线技术路线及进展</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传统的氟醚橡胶一般具有良好的耐高温和耐介质性能，而耐低温性能并不突出。在低温下橡胶大分子活动能力降低会使密封件弹性下降，严重时会导致密封介质泄露，如果氟醚橡胶出现失效导致密封性能下降将极有可能发生设备安全事故。因此，氟醚橡胶的耐低温性能尤为重要。为此，建设单位在查阅国内外资料的基础上提出新的第四单体合成路线，确定了新型的第四单体为CF3OCF2OCF=CF2，并通过对目前使用的意大利苏威公司耐低温性能能达到TR10≤-40℃的生胶进行结构分析，也发现在其结构中存在大量的-OCF2OCF3的基团，但无论是美国还是西欧都不对华销售该种生胶，只能依靠自身力量进行研发。第四单体对提高氟醚橡胶的耐低温性能具有积极的作用。</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前期研究的结果，设计单位提出了第四单体的合成路线：采用氟氧基三氟甲烷和一氧化碳反应，生成三氟甲氧基碳酰氟，再与氟气和均二氟二氯乙烯反应，所生成的加成物与锌粉进行脱氯反应而得到。工艺流程为电解→氟化→酰化→氟化加成→精馏→脱氯→精馏。该路线为全新的合成方案，在工艺路线中，电解和氟化工序已在中昊晨光院自主开发成功的全氟甲基乙烯基醚项目中进行过深入研究，属国内极少数开发并已成功合成出氟氧基三氟甲烷的单位；其次，工艺过程中的加成、脱氯工序与全氟甲基乙烯基醚项目中的加成、脱氯也有一定相似性。关键技术难点在于酰化和氟化加成工艺过程；但其中，氟化加成反应与碳酰氟的氟化具有相似性。根据分子结构分析，二次氟化反应的难度应比碳酰氟的氟化难度低，碳酰氟的氟化也属于全氟甲基乙烯基醚项目中关键步骤之一，已积累了一定的科研经验。因此，对第四单体技术的开发，晨光院具有研制的基础和能力。</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目前，第四单体拟定的合成方案为全新的工艺路线，而且合成路线涉及高温、深冷、易爆、有毒等工艺过程，实验装置必须充分考虑到各种安全防护以及环保处理措施，因此，有必要单独设计建设1条专用实验线，新增设备按照全套工艺流程进行配置。</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四单体实验合成路线为：原料氟化氢经电解制得氟气，氟气与一氧化碳经两级氟化生成氟氧基三氟甲烷（CF3OF），氟氧基三氟甲烷与一氧化碳经酰化反应生成氟甲酸三氟甲酯（CF3OCOF），氟甲酸三氟甲酯与电解工序的氟气、原料二氟二氯乙烯进行加成反应生成粗四单体加成物，粗四单体加成物经精馏、脱氯、精馏最终得到合格的聚合级第四单体。该工艺中的所有反应器均为常压反应，部分反应器需要进行加热。</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在2012年，晨光院建设了第四单体实验楼，每年产MOVE 20kg，经过3年实验与论证，该合成路线已经得到了进一步确定，工艺参数控制等更加精确。为加快MOVE工程化进程、满足下游实验的原料需求等因素，晨光院将在将扩建MOVE实验楼进行MOVE工程化条件研究。</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w:t>
      </w:r>
      <w:r>
        <w:rPr>
          <w:rFonts w:hint="eastAsia" w:ascii="Times New Roman" w:hAnsi="Times New Roman" w:eastAsia="宋体" w:cs="Times New Roman"/>
          <w:kern w:val="2"/>
          <w:sz w:val="24"/>
          <w:szCs w:val="24"/>
          <w:lang w:val="en-US" w:eastAsia="zh-CN" w:bidi="ar-SA"/>
        </w:rPr>
        <w:t>.3.2  电解氟化工段</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1）电解氟化反应原理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电解氟化工段主要将为之后的工段提供F2、CF3OF。F2用在氟化加成反应工段，CF3OF用在酰化反应工段。</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解制氟为经典的特种技术。氟化氢在温度为88～105℃、电解液为KF·2HF的熔盐（该盐熔点约80～85℃）、并通入直流电的情况下进行电解，阳极产生F2、阴极产生H2。电解液需定期补充无水HF，使熔盐组成大致恒定。该电解反应的收率达到99%、转化率97%。电解过程的反应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2HF</w:t>
      </w:r>
      <w:r>
        <w:rPr>
          <w:rFonts w:hint="eastAsia" w:ascii="Times New Roman" w:hAnsi="Times New Roman" w:eastAsia="宋体" w:cs="Times New Roman"/>
          <w:kern w:val="2"/>
          <w:sz w:val="24"/>
          <w:szCs w:val="24"/>
          <w:lang w:val="en-US" w:eastAsia="zh-CN" w:bidi="ar-SA"/>
        </w:rPr>
        <w:object>
          <v:shape id="_x0000_i1028" o:spt="75" type="#_x0000_t75" style="height:34pt;width:87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Times New Roman" w:hAnsi="Times New Roman" w:eastAsia="宋体" w:cs="Times New Roman"/>
          <w:kern w:val="2"/>
          <w:sz w:val="24"/>
          <w:szCs w:val="24"/>
          <w:lang w:val="en-US" w:eastAsia="zh-CN" w:bidi="ar-SA"/>
        </w:rPr>
        <w:t>F2↑（阳级）+H2↑（阴极）</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电解槽所用的电解液为KF·2HF，由氟化氢钾（KHF2或KF·HF）和无水HF在电解槽中配制，反应式如下：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KF·HF+HF→KF·2HF</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前段制得的过量F2将与CO在一段氟化反应器中发生一段氟化反应，生成氟光气（COF2，又称碳酰氟），反应转化率达到100%，收率90%，产率90%。反应中氟气过量。反应式如下：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主反应：F2+CO→COF2</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副反应：4F2+2CO→2CF4+O2</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生成的COF2和F2进入二段热氟化反应器，在400℃条件下发生反应，生成氟氧基三氟甲烷（CF3OF），COF2转化率95%，收率95%，产率90%。其主副反应式如下：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主反应： COF2+F2→CF3OF</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副反应： CF3OF+COF2→CF3OOCF3</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副反应产物CF3OOCF3在氟化加成反应中遇氟气会发生反应CF3OOCF3+F2→2CF3OF，又转变成主要中间体。</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阴极放空排出H2将夹带HF气体，因此采用碱液洗涤其中HF，生成盐留在溶液中，净化后的H2直接排空。反应式如下：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HF + KOH→KF+H2O</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本工段涉及原料：HF、KF·HF、KOH、CO，其中HF、KF·HF加入电解槽，CO加入一段氟化反应器，KOH配成碱液作碱洗塔洗涤液。</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2）电解氟化工段工艺流程及产污节点</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工段设置2套电解设备，将HF通入无水电解槽中，进行电解制取氟气，其中第一套电解设备所制备的氟气送一段氟化工段，第二套电解设备的氟气送二段热氟化工段。其中，阴极产生的H2（G3-1）和反应初期，阳极产生不纯的F2（G3-2）经二级水洗+碱洗+二级活性炭处理后外排。电解产生的F2可能混有的微量KF，经布袋除尘器处理，收集的KF收集后回用，一段时间后，纯净的F2和CO进入一段氟化反应器反应生成氟光气（COF2），其比例应控制在摩尔比1:2左右，为减少副反应发生，F2保持适当过量。</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反应混合物经一段除尘器（布袋除尘）除去其中可能混有的微量KF后，进入二段热氟化反应器。氟光气与氟气生成氟氧基三氟甲烷（CF3OCF）。反应后的混合物经二段除尘器（布袋除尘）除去其中可能混有的微量KF经进入收集罐中作酰化氟化工段使用，收集罐用液氮保持低温（-196℃）。收集罐经真空泵抽取其中的F2等杂质气体，所抽取的F2等废气（G3-5）经二级水洗+碱洗+二级活性炭处理后外排。</w:t>
      </w:r>
    </w:p>
    <w:p>
      <w:pPr>
        <w:spacing w:before="156" w:beforeLines="50" w:line="240" w:lineRule="auto"/>
        <w:ind w:firstLine="0" w:firstLineChars="0"/>
        <w:jc w:val="center"/>
      </w:pPr>
      <w:r>
        <w:rPr>
          <w:rFonts w:ascii="黑体" w:eastAsia="黑体"/>
        </w:rPr>
        <w:object>
          <v:shape id="_x0000_i1029" o:spt="75" type="#_x0000_t75" style="height:348pt;width:417pt;" o:ole="t" filled="f" o:preferrelative="t" stroked="f" coordsize="21600,21600">
            <v:path/>
            <v:fill on="f" focussize="0,0"/>
            <v:stroke on="f" joinstyle="miter"/>
            <v:imagedata r:id="rId28" o:title=""/>
            <o:lock v:ext="edit" aspectratio="t"/>
            <w10:wrap type="none"/>
            <w10:anchorlock/>
          </v:shape>
          <o:OLEObject Type="Embed" ProgID="Visio.Drawing.11" ShapeID="_x0000_i1029" DrawAspect="Content" ObjectID="_1468075729" r:id="rId27">
            <o:LockedField>false</o:LockedField>
          </o:OLEObject>
        </w:object>
      </w:r>
      <w:r>
        <w:rPr>
          <w:rFonts w:hint="eastAsia" w:ascii="黑体" w:hAnsi="黑体" w:eastAsia="黑体"/>
          <w:sz w:val="24"/>
          <w:szCs w:val="24"/>
        </w:rPr>
        <w:t>图3</w:t>
      </w:r>
      <w:r>
        <w:rPr>
          <w:rFonts w:ascii="黑体" w:hAnsi="黑体" w:eastAsia="黑体"/>
          <w:sz w:val="24"/>
          <w:szCs w:val="24"/>
        </w:rPr>
        <w:t>.3.3-1</w:t>
      </w:r>
      <w:r>
        <w:rPr>
          <w:rFonts w:hint="eastAsia" w:ascii="黑体" w:hAnsi="黑体" w:eastAsia="黑体"/>
          <w:sz w:val="24"/>
          <w:szCs w:val="24"/>
        </w:rPr>
        <w:t xml:space="preserve">     电解氟化工段工艺流程及产污节点图</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3）污染物产生情况及治理措施</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项目电解氟化工段污染物产生及治理情况如下。</w:t>
      </w:r>
    </w:p>
    <w:p>
      <w:pPr>
        <w:pStyle w:val="146"/>
        <w:spacing w:beforeLines="0"/>
        <w:ind w:firstLine="400"/>
      </w:pPr>
      <w:r>
        <w:rPr>
          <w:rFonts w:hint="eastAsia"/>
        </w:rPr>
        <w:t>表</w:t>
      </w:r>
      <w:r>
        <w:rPr>
          <w:rFonts w:hint="eastAsia"/>
          <w:lang w:val="en-US" w:eastAsia="zh-CN"/>
        </w:rPr>
        <w:t>2.4.3.2</w:t>
      </w:r>
      <w:r>
        <w:t>-1</w:t>
      </w:r>
      <w:r>
        <w:rPr>
          <w:rFonts w:hint="eastAsia"/>
        </w:rPr>
        <w:t xml:space="preserve">      电解氟化工段污染物产生及治理情况表</w:t>
      </w:r>
    </w:p>
    <w:tbl>
      <w:tblPr>
        <w:tblStyle w:val="43"/>
        <w:tblW w:w="884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043"/>
        <w:gridCol w:w="1560"/>
        <w:gridCol w:w="708"/>
        <w:gridCol w:w="2127"/>
        <w:gridCol w:w="1275"/>
        <w:gridCol w:w="13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spacing w:line="240" w:lineRule="exact"/>
            </w:pPr>
            <w:r>
              <w:rPr>
                <w:rFonts w:hint="eastAsia"/>
              </w:rPr>
              <w:t>污染物类型</w:t>
            </w:r>
          </w:p>
        </w:tc>
        <w:tc>
          <w:tcPr>
            <w:tcW w:w="1043" w:type="dxa"/>
            <w:vAlign w:val="center"/>
          </w:tcPr>
          <w:p>
            <w:pPr>
              <w:pStyle w:val="140"/>
              <w:spacing w:line="240" w:lineRule="exact"/>
            </w:pPr>
            <w:r>
              <w:rPr>
                <w:rFonts w:hint="eastAsia"/>
              </w:rPr>
              <w:t>装置</w:t>
            </w:r>
          </w:p>
        </w:tc>
        <w:tc>
          <w:tcPr>
            <w:tcW w:w="1560" w:type="dxa"/>
            <w:vAlign w:val="center"/>
          </w:tcPr>
          <w:p>
            <w:pPr>
              <w:pStyle w:val="140"/>
              <w:spacing w:line="240" w:lineRule="exact"/>
            </w:pPr>
            <w:r>
              <w:rPr>
                <w:rFonts w:hint="eastAsia"/>
              </w:rPr>
              <w:t>污染物名称</w:t>
            </w:r>
          </w:p>
        </w:tc>
        <w:tc>
          <w:tcPr>
            <w:tcW w:w="708" w:type="dxa"/>
            <w:vAlign w:val="center"/>
          </w:tcPr>
          <w:p>
            <w:pPr>
              <w:pStyle w:val="140"/>
              <w:spacing w:line="240" w:lineRule="exact"/>
            </w:pPr>
            <w:r>
              <w:rPr>
                <w:rFonts w:hint="eastAsia"/>
              </w:rPr>
              <w:t>代号</w:t>
            </w:r>
          </w:p>
        </w:tc>
        <w:tc>
          <w:tcPr>
            <w:tcW w:w="2127" w:type="dxa"/>
            <w:vAlign w:val="center"/>
          </w:tcPr>
          <w:p>
            <w:pPr>
              <w:pStyle w:val="140"/>
              <w:spacing w:line="240" w:lineRule="exact"/>
            </w:pPr>
            <w:r>
              <w:rPr>
                <w:rFonts w:hint="eastAsia"/>
              </w:rPr>
              <w:t>污染物源强</w:t>
            </w:r>
          </w:p>
        </w:tc>
        <w:tc>
          <w:tcPr>
            <w:tcW w:w="1275" w:type="dxa"/>
            <w:vAlign w:val="center"/>
          </w:tcPr>
          <w:p>
            <w:pPr>
              <w:pStyle w:val="140"/>
              <w:spacing w:line="240" w:lineRule="exact"/>
            </w:pPr>
            <w:r>
              <w:rPr>
                <w:rFonts w:hint="eastAsia"/>
              </w:rPr>
              <w:t>排放时间</w:t>
            </w:r>
          </w:p>
          <w:p>
            <w:pPr>
              <w:pStyle w:val="140"/>
              <w:spacing w:line="240" w:lineRule="exact"/>
            </w:pPr>
            <w:r>
              <w:rPr>
                <w:rFonts w:hint="eastAsia"/>
              </w:rPr>
              <w:t>（h/a）</w:t>
            </w:r>
          </w:p>
        </w:tc>
        <w:tc>
          <w:tcPr>
            <w:tcW w:w="1368" w:type="dxa"/>
            <w:vAlign w:val="center"/>
          </w:tcPr>
          <w:p>
            <w:pPr>
              <w:pStyle w:val="140"/>
              <w:spacing w:line="240" w:lineRule="exact"/>
            </w:pPr>
            <w:r>
              <w:rPr>
                <w:rFonts w:hint="eastAsia"/>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spacing w:line="240" w:lineRule="exact"/>
            </w:pPr>
            <w:r>
              <w:rPr>
                <w:rFonts w:hint="eastAsia"/>
              </w:rPr>
              <w:t>废气污染物</w:t>
            </w:r>
          </w:p>
        </w:tc>
        <w:tc>
          <w:tcPr>
            <w:tcW w:w="1043" w:type="dxa"/>
            <w:vAlign w:val="center"/>
          </w:tcPr>
          <w:p>
            <w:pPr>
              <w:pStyle w:val="140"/>
              <w:spacing w:line="240" w:lineRule="exact"/>
            </w:pPr>
            <w:r>
              <w:rPr>
                <w:rFonts w:hint="eastAsia"/>
              </w:rPr>
              <w:t>电解槽1</w:t>
            </w:r>
          </w:p>
        </w:tc>
        <w:tc>
          <w:tcPr>
            <w:tcW w:w="1560" w:type="dxa"/>
            <w:vAlign w:val="center"/>
          </w:tcPr>
          <w:p>
            <w:pPr>
              <w:pStyle w:val="140"/>
              <w:spacing w:line="240" w:lineRule="exact"/>
            </w:pPr>
            <w:r>
              <w:rPr>
                <w:rFonts w:hint="eastAsia"/>
              </w:rPr>
              <w:t>电解槽阴极废气</w:t>
            </w:r>
          </w:p>
        </w:tc>
        <w:tc>
          <w:tcPr>
            <w:tcW w:w="708" w:type="dxa"/>
            <w:vAlign w:val="center"/>
          </w:tcPr>
          <w:p>
            <w:pPr>
              <w:pStyle w:val="140"/>
              <w:spacing w:line="240" w:lineRule="exact"/>
            </w:pPr>
            <w:r>
              <w:rPr>
                <w:rFonts w:hint="eastAsia"/>
              </w:rPr>
              <w:t>G</w:t>
            </w:r>
            <w:r>
              <w:rPr>
                <w:rFonts w:hint="eastAsia"/>
                <w:vertAlign w:val="subscript"/>
              </w:rPr>
              <w:t>3-1</w:t>
            </w:r>
          </w:p>
        </w:tc>
        <w:tc>
          <w:tcPr>
            <w:tcW w:w="2127" w:type="dxa"/>
            <w:vAlign w:val="center"/>
          </w:tcPr>
          <w:p>
            <w:pPr>
              <w:pStyle w:val="140"/>
              <w:spacing w:line="240" w:lineRule="exact"/>
              <w:rPr>
                <w:vertAlign w:val="subscript"/>
              </w:rPr>
            </w:pPr>
            <w:r>
              <w:rPr>
                <w:rFonts w:hint="eastAsia"/>
              </w:rPr>
              <w:t>产生量：10Nm</w:t>
            </w:r>
            <w:r>
              <w:rPr>
                <w:rFonts w:hint="eastAsia"/>
                <w:vertAlign w:val="superscript"/>
              </w:rPr>
              <w:t>3</w:t>
            </w:r>
            <w:r>
              <w:rPr>
                <w:rFonts w:hint="eastAsia"/>
              </w:rPr>
              <w:t>/h</w:t>
            </w:r>
          </w:p>
          <w:p>
            <w:pPr>
              <w:pStyle w:val="140"/>
              <w:spacing w:line="240" w:lineRule="exact"/>
              <w:rPr>
                <w:vertAlign w:val="subscript"/>
              </w:rPr>
            </w:pPr>
            <w:r>
              <w:rPr>
                <w:rFonts w:hint="eastAsia"/>
              </w:rPr>
              <w:t>H</w:t>
            </w:r>
            <w:r>
              <w:rPr>
                <w:rFonts w:hint="eastAsia"/>
                <w:vertAlign w:val="subscript"/>
              </w:rPr>
              <w:t>2</w:t>
            </w:r>
            <w:r>
              <w:rPr>
                <w:rFonts w:hint="eastAsia"/>
              </w:rPr>
              <w:t>:2400mg/m</w:t>
            </w:r>
            <w:r>
              <w:rPr>
                <w:rFonts w:hint="eastAsia"/>
                <w:vertAlign w:val="superscript"/>
              </w:rPr>
              <w:t>3</w:t>
            </w:r>
            <w:r>
              <w:rPr>
                <w:rFonts w:hint="eastAsia"/>
              </w:rPr>
              <w:t>,0.024kg/h</w:t>
            </w:r>
          </w:p>
          <w:p>
            <w:pPr>
              <w:pStyle w:val="140"/>
              <w:spacing w:line="240" w:lineRule="exact"/>
            </w:pPr>
            <w:r>
              <w:rPr>
                <w:rFonts w:hint="eastAsia"/>
              </w:rPr>
              <w:t>HF: 600mg/m</w:t>
            </w:r>
            <w:r>
              <w:rPr>
                <w:rFonts w:hint="eastAsia"/>
                <w:vertAlign w:val="superscript"/>
              </w:rPr>
              <w:t>3</w:t>
            </w:r>
            <w:r>
              <w:rPr>
                <w:rFonts w:hint="eastAsia"/>
              </w:rPr>
              <w:t>,0.006kg/h</w:t>
            </w:r>
          </w:p>
        </w:tc>
        <w:tc>
          <w:tcPr>
            <w:tcW w:w="1275" w:type="dxa"/>
            <w:vAlign w:val="center"/>
          </w:tcPr>
          <w:p>
            <w:pPr>
              <w:pStyle w:val="140"/>
              <w:spacing w:line="240" w:lineRule="exact"/>
            </w:pPr>
            <w:r>
              <w:rPr>
                <w:rFonts w:hint="eastAsia"/>
              </w:rPr>
              <w:t>6024</w:t>
            </w:r>
          </w:p>
        </w:tc>
        <w:tc>
          <w:tcPr>
            <w:tcW w:w="1368" w:type="dxa"/>
            <w:vMerge w:val="restart"/>
            <w:vAlign w:val="center"/>
          </w:tcPr>
          <w:p>
            <w:pPr>
              <w:pStyle w:val="140"/>
              <w:spacing w:line="240" w:lineRule="exact"/>
            </w:pPr>
            <w:r>
              <w:rPr>
                <w:rFonts w:hint="eastAsia"/>
                <w:bCs/>
              </w:rPr>
              <w:t>经</w:t>
            </w:r>
            <w:r>
              <w:rPr>
                <w:bCs/>
              </w:rPr>
              <w:t>二级水洗+碱洗+二级活性炭处理</w:t>
            </w:r>
            <w:r>
              <w:rPr>
                <w:rFonts w:hint="eastAsia"/>
                <w:bCs/>
              </w:rPr>
              <w:t>，后经1根2</w:t>
            </w:r>
            <w:r>
              <w:rPr>
                <w:bCs/>
              </w:rPr>
              <w:t>5m排气筒达标排放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40" w:lineRule="exact"/>
            </w:pPr>
          </w:p>
        </w:tc>
        <w:tc>
          <w:tcPr>
            <w:tcW w:w="1043" w:type="dxa"/>
            <w:vAlign w:val="center"/>
          </w:tcPr>
          <w:p>
            <w:pPr>
              <w:pStyle w:val="140"/>
              <w:spacing w:line="240" w:lineRule="exact"/>
            </w:pPr>
            <w:r>
              <w:rPr>
                <w:rFonts w:hint="eastAsia"/>
              </w:rPr>
              <w:t>电解槽除尘器1</w:t>
            </w:r>
          </w:p>
        </w:tc>
        <w:tc>
          <w:tcPr>
            <w:tcW w:w="1560" w:type="dxa"/>
            <w:vAlign w:val="center"/>
          </w:tcPr>
          <w:p>
            <w:pPr>
              <w:pStyle w:val="140"/>
              <w:spacing w:line="240" w:lineRule="exact"/>
            </w:pPr>
            <w:r>
              <w:rPr>
                <w:rFonts w:hint="eastAsia"/>
              </w:rPr>
              <w:t>氟气放空废气</w:t>
            </w:r>
          </w:p>
        </w:tc>
        <w:tc>
          <w:tcPr>
            <w:tcW w:w="708" w:type="dxa"/>
            <w:vAlign w:val="center"/>
          </w:tcPr>
          <w:p>
            <w:pPr>
              <w:pStyle w:val="140"/>
              <w:spacing w:line="240" w:lineRule="exact"/>
            </w:pPr>
            <w:r>
              <w:rPr>
                <w:rFonts w:hint="eastAsia"/>
              </w:rPr>
              <w:t>G</w:t>
            </w:r>
            <w:r>
              <w:rPr>
                <w:rFonts w:hint="eastAsia"/>
                <w:vertAlign w:val="subscript"/>
              </w:rPr>
              <w:t>3-2</w:t>
            </w:r>
          </w:p>
        </w:tc>
        <w:tc>
          <w:tcPr>
            <w:tcW w:w="2127" w:type="dxa"/>
            <w:vAlign w:val="center"/>
          </w:tcPr>
          <w:p>
            <w:pPr>
              <w:pStyle w:val="140"/>
              <w:spacing w:line="240" w:lineRule="exact"/>
            </w:pPr>
            <w:r>
              <w:rPr>
                <w:rFonts w:hint="eastAsia"/>
              </w:rPr>
              <w:t>产生量:10Nm</w:t>
            </w:r>
            <w:r>
              <w:rPr>
                <w:rFonts w:hint="eastAsia"/>
                <w:vertAlign w:val="superscript"/>
              </w:rPr>
              <w:t>3</w:t>
            </w:r>
            <w:r>
              <w:rPr>
                <w:rFonts w:hint="eastAsia"/>
              </w:rPr>
              <w:t>/h</w:t>
            </w:r>
          </w:p>
          <w:p>
            <w:pPr>
              <w:pStyle w:val="140"/>
              <w:spacing w:line="240" w:lineRule="exact"/>
            </w:pPr>
            <w:r>
              <w:rPr>
                <w:rFonts w:hint="eastAsia"/>
              </w:rPr>
              <w:t>F</w:t>
            </w:r>
            <w:r>
              <w:rPr>
                <w:rFonts w:hint="eastAsia"/>
                <w:vertAlign w:val="subscript"/>
              </w:rPr>
              <w:t>2</w:t>
            </w:r>
            <w:r>
              <w:rPr>
                <w:rFonts w:hint="eastAsia"/>
              </w:rPr>
              <w:t>:28600mg/m</w:t>
            </w:r>
            <w:r>
              <w:rPr>
                <w:rFonts w:hint="eastAsia"/>
                <w:vertAlign w:val="superscript"/>
              </w:rPr>
              <w:t>3</w:t>
            </w:r>
            <w:r>
              <w:rPr>
                <w:rFonts w:hint="eastAsia"/>
              </w:rPr>
              <w:t>,0.286kg/h</w:t>
            </w:r>
          </w:p>
          <w:p>
            <w:pPr>
              <w:pStyle w:val="140"/>
              <w:spacing w:line="240" w:lineRule="exact"/>
              <w:rPr>
                <w:color w:val="FF0000"/>
              </w:rPr>
            </w:pPr>
            <w:r>
              <w:rPr>
                <w:rFonts w:hint="eastAsia"/>
              </w:rPr>
              <w:t>HF: 600mg/m</w:t>
            </w:r>
            <w:r>
              <w:rPr>
                <w:rFonts w:hint="eastAsia"/>
                <w:vertAlign w:val="superscript"/>
              </w:rPr>
              <w:t>3</w:t>
            </w:r>
            <w:r>
              <w:rPr>
                <w:rFonts w:hint="eastAsia"/>
              </w:rPr>
              <w:t>,0.006kg/h</w:t>
            </w:r>
          </w:p>
        </w:tc>
        <w:tc>
          <w:tcPr>
            <w:tcW w:w="1275" w:type="dxa"/>
            <w:vAlign w:val="center"/>
          </w:tcPr>
          <w:p>
            <w:pPr>
              <w:pStyle w:val="140"/>
              <w:spacing w:line="240" w:lineRule="exact"/>
            </w:pPr>
            <w:r>
              <w:rPr>
                <w:rFonts w:hint="eastAsia"/>
              </w:rPr>
              <w:t>240</w:t>
            </w:r>
          </w:p>
        </w:tc>
        <w:tc>
          <w:tcPr>
            <w:tcW w:w="1368" w:type="dxa"/>
            <w:vMerge w:val="continue"/>
            <w:vAlign w:val="center"/>
          </w:tcPr>
          <w:p>
            <w:pPr>
              <w:pStyle w:val="140"/>
              <w:spacing w:line="240" w:lineRule="exact"/>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spacing w:line="240" w:lineRule="exact"/>
            </w:pPr>
          </w:p>
        </w:tc>
        <w:tc>
          <w:tcPr>
            <w:tcW w:w="1043" w:type="dxa"/>
            <w:vAlign w:val="center"/>
          </w:tcPr>
          <w:p>
            <w:pPr>
              <w:pStyle w:val="140"/>
              <w:spacing w:line="240" w:lineRule="exact"/>
            </w:pPr>
            <w:r>
              <w:rPr>
                <w:rFonts w:hint="eastAsia"/>
              </w:rPr>
              <w:t>电解槽2</w:t>
            </w:r>
          </w:p>
        </w:tc>
        <w:tc>
          <w:tcPr>
            <w:tcW w:w="1560" w:type="dxa"/>
            <w:vAlign w:val="center"/>
          </w:tcPr>
          <w:p>
            <w:pPr>
              <w:pStyle w:val="140"/>
              <w:spacing w:line="240" w:lineRule="exact"/>
            </w:pPr>
            <w:r>
              <w:rPr>
                <w:rFonts w:hint="eastAsia"/>
              </w:rPr>
              <w:t>电解槽阴极废气</w:t>
            </w:r>
          </w:p>
        </w:tc>
        <w:tc>
          <w:tcPr>
            <w:tcW w:w="708" w:type="dxa"/>
            <w:vAlign w:val="center"/>
          </w:tcPr>
          <w:p>
            <w:pPr>
              <w:pStyle w:val="140"/>
              <w:spacing w:line="240" w:lineRule="exact"/>
            </w:pPr>
            <w:r>
              <w:rPr>
                <w:rFonts w:hint="eastAsia"/>
              </w:rPr>
              <w:t>G</w:t>
            </w:r>
            <w:r>
              <w:rPr>
                <w:rFonts w:hint="eastAsia"/>
                <w:vertAlign w:val="subscript"/>
              </w:rPr>
              <w:t>3-3</w:t>
            </w:r>
          </w:p>
        </w:tc>
        <w:tc>
          <w:tcPr>
            <w:tcW w:w="2127" w:type="dxa"/>
            <w:vAlign w:val="center"/>
          </w:tcPr>
          <w:p>
            <w:pPr>
              <w:pStyle w:val="140"/>
              <w:spacing w:line="240" w:lineRule="exact"/>
              <w:jc w:val="left"/>
              <w:rPr>
                <w:vertAlign w:val="subscript"/>
              </w:rPr>
            </w:pPr>
            <w:r>
              <w:rPr>
                <w:rFonts w:hint="eastAsia"/>
              </w:rPr>
              <w:t>产生量：10Nm</w:t>
            </w:r>
            <w:r>
              <w:rPr>
                <w:rFonts w:hint="eastAsia"/>
                <w:vertAlign w:val="superscript"/>
              </w:rPr>
              <w:t>3</w:t>
            </w:r>
            <w:r>
              <w:rPr>
                <w:rFonts w:hint="eastAsia"/>
              </w:rPr>
              <w:t>/h</w:t>
            </w:r>
          </w:p>
          <w:p>
            <w:pPr>
              <w:pStyle w:val="140"/>
              <w:spacing w:line="240" w:lineRule="exact"/>
              <w:rPr>
                <w:vertAlign w:val="subscript"/>
              </w:rPr>
            </w:pPr>
            <w:r>
              <w:rPr>
                <w:rFonts w:hint="eastAsia"/>
              </w:rPr>
              <w:t>H</w:t>
            </w:r>
            <w:r>
              <w:rPr>
                <w:rFonts w:hint="eastAsia"/>
                <w:vertAlign w:val="subscript"/>
              </w:rPr>
              <w:t>2</w:t>
            </w:r>
            <w:r>
              <w:rPr>
                <w:rFonts w:hint="eastAsia"/>
              </w:rPr>
              <w:t>:2400mg/m</w:t>
            </w:r>
            <w:r>
              <w:rPr>
                <w:rFonts w:hint="eastAsia"/>
                <w:vertAlign w:val="superscript"/>
              </w:rPr>
              <w:t>3</w:t>
            </w:r>
            <w:r>
              <w:rPr>
                <w:rFonts w:hint="eastAsia"/>
              </w:rPr>
              <w:t>,0.024kg/h</w:t>
            </w:r>
          </w:p>
          <w:p>
            <w:pPr>
              <w:pStyle w:val="140"/>
              <w:spacing w:line="240" w:lineRule="exact"/>
            </w:pPr>
            <w:r>
              <w:rPr>
                <w:rFonts w:hint="eastAsia"/>
              </w:rPr>
              <w:t>HF: 600mg/m</w:t>
            </w:r>
            <w:r>
              <w:rPr>
                <w:rFonts w:hint="eastAsia"/>
                <w:vertAlign w:val="superscript"/>
              </w:rPr>
              <w:t>3</w:t>
            </w:r>
            <w:r>
              <w:rPr>
                <w:rFonts w:hint="eastAsia"/>
              </w:rPr>
              <w:t>,0.006kg/h</w:t>
            </w:r>
          </w:p>
        </w:tc>
        <w:tc>
          <w:tcPr>
            <w:tcW w:w="1275" w:type="dxa"/>
            <w:vAlign w:val="center"/>
          </w:tcPr>
          <w:p>
            <w:pPr>
              <w:pStyle w:val="140"/>
              <w:spacing w:line="240" w:lineRule="exact"/>
            </w:pPr>
            <w:r>
              <w:rPr>
                <w:rFonts w:hint="eastAsia"/>
              </w:rPr>
              <w:t>6024</w:t>
            </w:r>
          </w:p>
        </w:tc>
        <w:tc>
          <w:tcPr>
            <w:tcW w:w="1368" w:type="dxa"/>
            <w:vMerge w:val="continue"/>
            <w:vAlign w:val="center"/>
          </w:tcPr>
          <w:p>
            <w:pPr>
              <w:pStyle w:val="140"/>
              <w:spacing w:line="240" w:lineRule="exact"/>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40" w:lineRule="exact"/>
            </w:pPr>
          </w:p>
        </w:tc>
        <w:tc>
          <w:tcPr>
            <w:tcW w:w="1043" w:type="dxa"/>
            <w:vAlign w:val="center"/>
          </w:tcPr>
          <w:p>
            <w:pPr>
              <w:pStyle w:val="140"/>
              <w:spacing w:line="240" w:lineRule="exact"/>
            </w:pPr>
            <w:r>
              <w:rPr>
                <w:rFonts w:hint="eastAsia"/>
              </w:rPr>
              <w:t>电解槽除尘器2</w:t>
            </w:r>
          </w:p>
        </w:tc>
        <w:tc>
          <w:tcPr>
            <w:tcW w:w="1560" w:type="dxa"/>
            <w:vAlign w:val="center"/>
          </w:tcPr>
          <w:p>
            <w:pPr>
              <w:pStyle w:val="140"/>
              <w:spacing w:line="240" w:lineRule="exact"/>
            </w:pPr>
            <w:r>
              <w:rPr>
                <w:rFonts w:hint="eastAsia"/>
              </w:rPr>
              <w:t>氟气放空废气</w:t>
            </w:r>
          </w:p>
        </w:tc>
        <w:tc>
          <w:tcPr>
            <w:tcW w:w="708" w:type="dxa"/>
            <w:vAlign w:val="center"/>
          </w:tcPr>
          <w:p>
            <w:pPr>
              <w:pStyle w:val="140"/>
              <w:spacing w:line="240" w:lineRule="exact"/>
            </w:pPr>
            <w:r>
              <w:rPr>
                <w:rFonts w:hint="eastAsia"/>
              </w:rPr>
              <w:t>G</w:t>
            </w:r>
            <w:r>
              <w:rPr>
                <w:rFonts w:hint="eastAsia"/>
                <w:vertAlign w:val="subscript"/>
              </w:rPr>
              <w:t>3-4</w:t>
            </w:r>
          </w:p>
        </w:tc>
        <w:tc>
          <w:tcPr>
            <w:tcW w:w="2127" w:type="dxa"/>
            <w:vAlign w:val="center"/>
          </w:tcPr>
          <w:p>
            <w:pPr>
              <w:pStyle w:val="140"/>
              <w:spacing w:line="240" w:lineRule="exact"/>
            </w:pPr>
            <w:r>
              <w:rPr>
                <w:rFonts w:hint="eastAsia"/>
              </w:rPr>
              <w:t>产生量:10Nm</w:t>
            </w:r>
            <w:r>
              <w:rPr>
                <w:rFonts w:hint="eastAsia"/>
                <w:vertAlign w:val="superscript"/>
              </w:rPr>
              <w:t>3</w:t>
            </w:r>
            <w:r>
              <w:rPr>
                <w:rFonts w:hint="eastAsia"/>
              </w:rPr>
              <w:t>/h</w:t>
            </w:r>
          </w:p>
          <w:p>
            <w:pPr>
              <w:pStyle w:val="140"/>
              <w:spacing w:line="240" w:lineRule="exact"/>
            </w:pPr>
            <w:r>
              <w:rPr>
                <w:rFonts w:hint="eastAsia"/>
              </w:rPr>
              <w:t>F</w:t>
            </w:r>
            <w:r>
              <w:rPr>
                <w:rFonts w:hint="eastAsia"/>
                <w:vertAlign w:val="subscript"/>
              </w:rPr>
              <w:t>2</w:t>
            </w:r>
            <w:r>
              <w:rPr>
                <w:rFonts w:hint="eastAsia"/>
              </w:rPr>
              <w:t>:23800mg/m</w:t>
            </w:r>
            <w:r>
              <w:rPr>
                <w:rFonts w:hint="eastAsia"/>
                <w:vertAlign w:val="superscript"/>
              </w:rPr>
              <w:t>3</w:t>
            </w:r>
            <w:r>
              <w:rPr>
                <w:rFonts w:hint="eastAsia"/>
              </w:rPr>
              <w:t>,0.238kg/h</w:t>
            </w:r>
          </w:p>
          <w:p>
            <w:pPr>
              <w:pStyle w:val="140"/>
              <w:spacing w:line="240" w:lineRule="exact"/>
            </w:pPr>
            <w:r>
              <w:rPr>
                <w:rFonts w:hint="eastAsia"/>
              </w:rPr>
              <w:t>HF: 500mg/m</w:t>
            </w:r>
            <w:r>
              <w:rPr>
                <w:rFonts w:hint="eastAsia"/>
                <w:vertAlign w:val="superscript"/>
              </w:rPr>
              <w:t>3</w:t>
            </w:r>
            <w:r>
              <w:rPr>
                <w:rFonts w:hint="eastAsia"/>
              </w:rPr>
              <w:t>,0.005kg/h</w:t>
            </w:r>
          </w:p>
        </w:tc>
        <w:tc>
          <w:tcPr>
            <w:tcW w:w="1275" w:type="dxa"/>
            <w:vAlign w:val="center"/>
          </w:tcPr>
          <w:p>
            <w:pPr>
              <w:pStyle w:val="140"/>
              <w:spacing w:line="240" w:lineRule="exact"/>
            </w:pPr>
            <w:r>
              <w:rPr>
                <w:rFonts w:hint="eastAsia"/>
              </w:rPr>
              <w:t>288</w:t>
            </w:r>
          </w:p>
        </w:tc>
        <w:tc>
          <w:tcPr>
            <w:tcW w:w="1368" w:type="dxa"/>
            <w:vMerge w:val="continue"/>
            <w:vAlign w:val="center"/>
          </w:tcPr>
          <w:p>
            <w:pPr>
              <w:pStyle w:val="140"/>
              <w:spacing w:line="240" w:lineRule="exact"/>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40" w:lineRule="exact"/>
            </w:pPr>
          </w:p>
        </w:tc>
        <w:tc>
          <w:tcPr>
            <w:tcW w:w="1043" w:type="dxa"/>
            <w:vAlign w:val="center"/>
          </w:tcPr>
          <w:p>
            <w:pPr>
              <w:pStyle w:val="140"/>
              <w:spacing w:line="240" w:lineRule="exact"/>
            </w:pPr>
            <w:r>
              <w:rPr>
                <w:rFonts w:hint="eastAsia"/>
              </w:rPr>
              <w:t>收集罐</w:t>
            </w:r>
          </w:p>
        </w:tc>
        <w:tc>
          <w:tcPr>
            <w:tcW w:w="1560" w:type="dxa"/>
            <w:vAlign w:val="center"/>
          </w:tcPr>
          <w:p>
            <w:pPr>
              <w:pStyle w:val="140"/>
              <w:spacing w:line="240" w:lineRule="exact"/>
            </w:pPr>
            <w:r>
              <w:rPr>
                <w:rFonts w:hint="eastAsia"/>
              </w:rPr>
              <w:t>收集罐废气</w:t>
            </w:r>
          </w:p>
        </w:tc>
        <w:tc>
          <w:tcPr>
            <w:tcW w:w="708" w:type="dxa"/>
            <w:vAlign w:val="center"/>
          </w:tcPr>
          <w:p>
            <w:pPr>
              <w:pStyle w:val="140"/>
              <w:spacing w:line="240" w:lineRule="exact"/>
            </w:pPr>
            <w:r>
              <w:rPr>
                <w:rFonts w:hint="eastAsia"/>
              </w:rPr>
              <w:t>G</w:t>
            </w:r>
            <w:r>
              <w:rPr>
                <w:rFonts w:hint="eastAsia"/>
                <w:vertAlign w:val="subscript"/>
              </w:rPr>
              <w:t>3-5</w:t>
            </w:r>
          </w:p>
        </w:tc>
        <w:tc>
          <w:tcPr>
            <w:tcW w:w="2127" w:type="dxa"/>
            <w:vAlign w:val="center"/>
          </w:tcPr>
          <w:p>
            <w:pPr>
              <w:pStyle w:val="140"/>
              <w:spacing w:line="240" w:lineRule="exact"/>
            </w:pPr>
            <w:r>
              <w:rPr>
                <w:rFonts w:hint="eastAsia"/>
              </w:rPr>
              <w:t>产生量:10Nm</w:t>
            </w:r>
            <w:r>
              <w:rPr>
                <w:rFonts w:hint="eastAsia"/>
                <w:vertAlign w:val="superscript"/>
              </w:rPr>
              <w:t>3</w:t>
            </w:r>
            <w:r>
              <w:rPr>
                <w:rFonts w:hint="eastAsia"/>
              </w:rPr>
              <w:t>/h</w:t>
            </w:r>
          </w:p>
          <w:p>
            <w:pPr>
              <w:pStyle w:val="140"/>
              <w:spacing w:line="240" w:lineRule="exact"/>
            </w:pPr>
            <w:r>
              <w:rPr>
                <w:rFonts w:hint="eastAsia"/>
              </w:rPr>
              <w:t>CF</w:t>
            </w:r>
            <w:r>
              <w:rPr>
                <w:rFonts w:hint="eastAsia"/>
                <w:vertAlign w:val="subscript"/>
              </w:rPr>
              <w:t>4</w:t>
            </w:r>
            <w:r>
              <w:rPr>
                <w:rFonts w:hint="eastAsia"/>
              </w:rPr>
              <w:t>:7mg/m</w:t>
            </w:r>
            <w:r>
              <w:rPr>
                <w:rFonts w:hint="eastAsia"/>
                <w:vertAlign w:val="superscript"/>
              </w:rPr>
              <w:t>3</w:t>
            </w:r>
            <w:r>
              <w:rPr>
                <w:rFonts w:hint="eastAsia"/>
              </w:rPr>
              <w:t>,0.00007kg/h</w:t>
            </w:r>
          </w:p>
          <w:p>
            <w:pPr>
              <w:pStyle w:val="140"/>
              <w:spacing w:line="240" w:lineRule="exact"/>
            </w:pPr>
            <w:r>
              <w:rPr>
                <w:rFonts w:hint="eastAsia"/>
              </w:rPr>
              <w:t>F</w:t>
            </w:r>
            <w:r>
              <w:rPr>
                <w:rFonts w:hint="eastAsia"/>
                <w:vertAlign w:val="subscript"/>
              </w:rPr>
              <w:t>2</w:t>
            </w:r>
            <w:r>
              <w:rPr>
                <w:rFonts w:hint="eastAsia"/>
              </w:rPr>
              <w:t>:6950mg/m</w:t>
            </w:r>
            <w:r>
              <w:rPr>
                <w:rFonts w:hint="eastAsia"/>
                <w:vertAlign w:val="superscript"/>
              </w:rPr>
              <w:t>3</w:t>
            </w:r>
            <w:r>
              <w:rPr>
                <w:rFonts w:hint="eastAsia"/>
              </w:rPr>
              <w:t>,0.</w:t>
            </w:r>
            <w:r>
              <w:t>0</w:t>
            </w:r>
            <w:r>
              <w:rPr>
                <w:rFonts w:hint="eastAsia"/>
              </w:rPr>
              <w:t>695kg/h</w:t>
            </w:r>
          </w:p>
        </w:tc>
        <w:tc>
          <w:tcPr>
            <w:tcW w:w="1275" w:type="dxa"/>
            <w:vAlign w:val="center"/>
          </w:tcPr>
          <w:p>
            <w:pPr>
              <w:pStyle w:val="140"/>
              <w:spacing w:line="240" w:lineRule="exact"/>
            </w:pPr>
            <w:r>
              <w:rPr>
                <w:rFonts w:hint="eastAsia"/>
              </w:rPr>
              <w:t>288</w:t>
            </w:r>
          </w:p>
        </w:tc>
        <w:tc>
          <w:tcPr>
            <w:tcW w:w="1368" w:type="dxa"/>
            <w:vMerge w:val="continue"/>
            <w:vAlign w:val="center"/>
          </w:tcPr>
          <w:p>
            <w:pPr>
              <w:pStyle w:val="140"/>
              <w:spacing w:line="240" w:lineRule="exact"/>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spacing w:line="240" w:lineRule="exact"/>
            </w:pPr>
            <w:r>
              <w:rPr>
                <w:rFonts w:hint="eastAsia"/>
              </w:rPr>
              <w:t>固体废物</w:t>
            </w:r>
          </w:p>
        </w:tc>
        <w:tc>
          <w:tcPr>
            <w:tcW w:w="1043" w:type="dxa"/>
            <w:vAlign w:val="center"/>
          </w:tcPr>
          <w:p>
            <w:pPr>
              <w:pStyle w:val="140"/>
              <w:spacing w:line="240" w:lineRule="exact"/>
            </w:pPr>
            <w:r>
              <w:rPr>
                <w:rFonts w:hint="eastAsia"/>
              </w:rPr>
              <w:t>电解槽1</w:t>
            </w:r>
          </w:p>
        </w:tc>
        <w:tc>
          <w:tcPr>
            <w:tcW w:w="1560" w:type="dxa"/>
            <w:vAlign w:val="center"/>
          </w:tcPr>
          <w:p>
            <w:pPr>
              <w:pStyle w:val="140"/>
              <w:spacing w:line="240" w:lineRule="exact"/>
            </w:pPr>
            <w:r>
              <w:rPr>
                <w:rFonts w:hint="eastAsia"/>
              </w:rPr>
              <w:t>废电解质</w:t>
            </w:r>
          </w:p>
        </w:tc>
        <w:tc>
          <w:tcPr>
            <w:tcW w:w="708" w:type="dxa"/>
            <w:vAlign w:val="center"/>
          </w:tcPr>
          <w:p>
            <w:pPr>
              <w:pStyle w:val="140"/>
              <w:spacing w:line="240" w:lineRule="exact"/>
            </w:pPr>
            <w:r>
              <w:rPr>
                <w:rFonts w:hint="eastAsia"/>
              </w:rPr>
              <w:t>S</w:t>
            </w:r>
            <w:r>
              <w:rPr>
                <w:rFonts w:hint="eastAsia"/>
                <w:vertAlign w:val="subscript"/>
              </w:rPr>
              <w:t>3-1</w:t>
            </w:r>
          </w:p>
        </w:tc>
        <w:tc>
          <w:tcPr>
            <w:tcW w:w="2127" w:type="dxa"/>
            <w:vAlign w:val="center"/>
          </w:tcPr>
          <w:p>
            <w:pPr>
              <w:pStyle w:val="140"/>
              <w:spacing w:line="240" w:lineRule="exact"/>
            </w:pPr>
            <w:r>
              <w:rPr>
                <w:rFonts w:hint="eastAsia"/>
              </w:rPr>
              <w:t>产生量：5 t/a</w:t>
            </w:r>
          </w:p>
          <w:p>
            <w:pPr>
              <w:pStyle w:val="140"/>
              <w:spacing w:line="240" w:lineRule="exact"/>
            </w:pPr>
            <w:r>
              <w:rPr>
                <w:rFonts w:hint="eastAsia"/>
              </w:rPr>
              <w:t>钾盐（KF、KF·HF、</w:t>
            </w:r>
          </w:p>
          <w:p>
            <w:pPr>
              <w:pStyle w:val="140"/>
              <w:spacing w:line="240" w:lineRule="exact"/>
            </w:pPr>
            <w:r>
              <w:rPr>
                <w:rFonts w:hint="eastAsia"/>
              </w:rPr>
              <w:t>KF.2HF等）</w:t>
            </w:r>
          </w:p>
        </w:tc>
        <w:tc>
          <w:tcPr>
            <w:tcW w:w="1275" w:type="dxa"/>
            <w:vAlign w:val="center"/>
          </w:tcPr>
          <w:p>
            <w:pPr>
              <w:pStyle w:val="140"/>
              <w:spacing w:line="240" w:lineRule="exact"/>
            </w:pPr>
            <w:r>
              <w:rPr>
                <w:rFonts w:hint="eastAsia"/>
              </w:rPr>
              <w:t>-</w:t>
            </w:r>
          </w:p>
        </w:tc>
        <w:tc>
          <w:tcPr>
            <w:tcW w:w="1368" w:type="dxa"/>
            <w:vMerge w:val="restart"/>
            <w:vAlign w:val="center"/>
          </w:tcPr>
          <w:p>
            <w:pPr>
              <w:pStyle w:val="140"/>
              <w:spacing w:line="240" w:lineRule="exact"/>
            </w:pPr>
            <w:r>
              <w:rPr>
                <w:rFonts w:hint="eastAsia"/>
              </w:rPr>
              <w:t>返给厂家江西渠成氟化学有限公司回收提纯用作其原料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spacing w:line="240" w:lineRule="exact"/>
            </w:pPr>
          </w:p>
        </w:tc>
        <w:tc>
          <w:tcPr>
            <w:tcW w:w="1043" w:type="dxa"/>
            <w:vAlign w:val="center"/>
          </w:tcPr>
          <w:p>
            <w:pPr>
              <w:pStyle w:val="140"/>
              <w:spacing w:line="240" w:lineRule="exact"/>
            </w:pPr>
            <w:r>
              <w:rPr>
                <w:rFonts w:hint="eastAsia"/>
              </w:rPr>
              <w:t>电解槽2</w:t>
            </w:r>
          </w:p>
        </w:tc>
        <w:tc>
          <w:tcPr>
            <w:tcW w:w="1560" w:type="dxa"/>
            <w:vAlign w:val="center"/>
          </w:tcPr>
          <w:p>
            <w:pPr>
              <w:pStyle w:val="140"/>
              <w:spacing w:line="240" w:lineRule="exact"/>
            </w:pPr>
            <w:r>
              <w:rPr>
                <w:rFonts w:hint="eastAsia"/>
              </w:rPr>
              <w:t>废电解质</w:t>
            </w:r>
          </w:p>
        </w:tc>
        <w:tc>
          <w:tcPr>
            <w:tcW w:w="708" w:type="dxa"/>
            <w:vAlign w:val="center"/>
          </w:tcPr>
          <w:p>
            <w:pPr>
              <w:pStyle w:val="140"/>
              <w:spacing w:line="240" w:lineRule="exact"/>
            </w:pPr>
            <w:r>
              <w:rPr>
                <w:rFonts w:hint="eastAsia"/>
              </w:rPr>
              <w:t>S</w:t>
            </w:r>
            <w:r>
              <w:rPr>
                <w:rFonts w:hint="eastAsia"/>
                <w:vertAlign w:val="subscript"/>
              </w:rPr>
              <w:t>3-2</w:t>
            </w:r>
          </w:p>
        </w:tc>
        <w:tc>
          <w:tcPr>
            <w:tcW w:w="2127" w:type="dxa"/>
            <w:vAlign w:val="center"/>
          </w:tcPr>
          <w:p>
            <w:pPr>
              <w:pStyle w:val="140"/>
              <w:spacing w:line="240" w:lineRule="exact"/>
            </w:pPr>
            <w:r>
              <w:rPr>
                <w:rFonts w:hint="eastAsia"/>
              </w:rPr>
              <w:t>产生量：5 t/a</w:t>
            </w:r>
          </w:p>
          <w:p>
            <w:pPr>
              <w:pStyle w:val="140"/>
              <w:spacing w:line="240" w:lineRule="exact"/>
            </w:pPr>
            <w:r>
              <w:rPr>
                <w:rFonts w:hint="eastAsia"/>
              </w:rPr>
              <w:t>钾盐（KF、KF·HF、</w:t>
            </w:r>
          </w:p>
          <w:p>
            <w:pPr>
              <w:pStyle w:val="140"/>
              <w:spacing w:line="240" w:lineRule="exact"/>
            </w:pPr>
            <w:r>
              <w:rPr>
                <w:rFonts w:hint="eastAsia"/>
              </w:rPr>
              <w:t>KF.2HF等）</w:t>
            </w:r>
          </w:p>
        </w:tc>
        <w:tc>
          <w:tcPr>
            <w:tcW w:w="1275" w:type="dxa"/>
            <w:vAlign w:val="center"/>
          </w:tcPr>
          <w:p>
            <w:pPr>
              <w:pStyle w:val="140"/>
              <w:spacing w:line="240" w:lineRule="exact"/>
            </w:pPr>
            <w:r>
              <w:rPr>
                <w:rFonts w:hint="eastAsia"/>
              </w:rPr>
              <w:t>-</w:t>
            </w:r>
          </w:p>
        </w:tc>
        <w:tc>
          <w:tcPr>
            <w:tcW w:w="1368" w:type="dxa"/>
            <w:vMerge w:val="continue"/>
            <w:vAlign w:val="center"/>
          </w:tcPr>
          <w:p>
            <w:pPr>
              <w:pStyle w:val="140"/>
              <w:spacing w:line="240" w:lineRule="exact"/>
            </w:pPr>
          </w:p>
        </w:tc>
      </w:tr>
    </w:tbl>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w:t>
      </w:r>
      <w:r>
        <w:rPr>
          <w:rFonts w:hint="eastAsia" w:ascii="Times New Roman" w:hAnsi="Times New Roman" w:eastAsia="宋体" w:cs="Times New Roman"/>
          <w:kern w:val="2"/>
          <w:sz w:val="24"/>
          <w:szCs w:val="24"/>
          <w:lang w:val="en-US" w:eastAsia="zh-CN" w:bidi="ar-SA"/>
        </w:rPr>
        <w:t>.3.3  酰化及氟化加成工段</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1）工艺原理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酰化工序是以氟化工序的氟氧基三氟甲烷（CF3OF）和CO为原料在一定温度下合成出氟甲酸三氟甲酯（CF3OCOF），其沸点-34℃，反应的转化率40%，收率50%，产率20%。再经-100℃冷冻机组制冷将物料冷凝收集后提纯，收集时酰氟收集器温度-85℃左右。反应方程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主反应：CF3OF+CO→CF3OCOF</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副反应：CF3OF+CO→2COF2              （主要副反应）</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生成的产物中含CF3OF、CO、COF2等气态杂质。因此，杂质经尾气反应器（预先加入CFCl=CFCl）除去未反应的CF3OF，再经过碱洗除去COF2后排放。本段反应式如下。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CF3OF + CFCl＝CFCl→CF3OCFClCF2Cl（副产物，PMVE）</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COF2 + 2KOH→2KF＋H2O＋CO2</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氟气（F2）、二氟二氯甲烷（CFCl=CFCl）和酰化产物氟甲酸三氟甲酯（CF3OCOF）在氟化加成反应器中进行下一步反应，反应产物以液态存在于反应器，反应方程式如下。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主反应：CF3OCOF+CFCl=CFCl+F2→CF3OCF2OCFClCF2Cl</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副反应：F2+nCFCl=CFCl→F[CFClCFCl]nF  n=1,2,3,4,5</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F2+CF3OCOF→COF2＋CF3OF</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CF3OF+CFCl=CFCl→CF3OCFClCF2Cl（副产物，PMVE）</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未完全反应的剩余气体经碱洗系统处理。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2）工艺流程及产污节点</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解氟化工段制备的氟氧基三氟甲烷（CF3OF）和CO按配比应保持摩尔比1:1左右在酰化混合器进行混合，后在-100℃、0.3MPa条件下进行酰化反应，反应完成后的混合物经-100℃冷凝收集，其中产物氟甲酸三氟甲酯（CF3OCOF）及少量副产物（COF2）在收集罐液相中储存。反应废气中含有CF3OF、CO、COF2，送车间吸收反应器中，与预先在吸收反应器中加入的CFCl=CFCl反应，生成CF3OCFClCF2Cl粗品（即为PMVE粗品），送PMVE精制系统；吸收反应器产生的反应器尾气（G3-8）主要含HF、COF2，经二级水洗+碱洗+二级活性炭处理，后经1根25m排气筒排放。由于尾气吸收反应器反应为剧烈放热反应，故采用-100℃冷冻机组保持低温。</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解槽制备的纯净氟气（F2）、二氟二氯甲烷（CFCl=CFCl）和酰化产物氟甲酸三氟甲酯（CF3OCOF）进入氟化加成反应器中进行氟化加成反应，生成1-三氟甲氧基二氟甲基三氟二氯乙基醚（CF3OCF2OCFClCF2Cl）。氟化加成反应器用-110冷冻机组保持-100℃低温，反应完成后的混合物经回收罐回收气相组分后收入四单体加成物收集槽暂存，储槽保持-35℃低温。未被冷却的气相混合物（G3-9），主要含过量氟气、少量COF2及氮气，经放空反应器处理后，再经二级水洗+碱洗+二级活性炭处理，后经1根25m排气筒排放。</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该工段的工艺流程及产污位置见下图。</w:t>
      </w:r>
    </w:p>
    <w:p>
      <w:pPr>
        <w:pStyle w:val="146"/>
        <w:spacing w:beforeLines="0" w:line="240" w:lineRule="auto"/>
      </w:pPr>
      <w:r>
        <w:object>
          <v:shape id="_x0000_i1030" o:spt="75" type="#_x0000_t75" style="height:486pt;width:414pt;" o:ole="t" filled="f" o:preferrelative="t" stroked="f" coordsize="21600,21600">
            <v:path/>
            <v:fill on="f" focussize="0,0"/>
            <v:stroke on="f" joinstyle="miter"/>
            <v:imagedata r:id="rId30" o:title=""/>
            <o:lock v:ext="edit" aspectratio="t"/>
            <w10:wrap type="none"/>
            <w10:anchorlock/>
          </v:shape>
          <o:OLEObject Type="Embed" ProgID="Visio.Drawing.11" ShapeID="_x0000_i1030" DrawAspect="Content" ObjectID="_1468075730" r:id="rId29">
            <o:LockedField>false</o:LockedField>
          </o:OLEObject>
        </w:object>
      </w:r>
    </w:p>
    <w:p>
      <w:pPr>
        <w:pStyle w:val="146"/>
        <w:spacing w:beforeLines="0" w:line="240" w:lineRule="auto"/>
        <w:ind w:firstLine="400"/>
      </w:pPr>
      <w:r>
        <w:rPr>
          <w:rFonts w:hint="eastAsia"/>
        </w:rPr>
        <w:t>图</w:t>
      </w:r>
      <w:r>
        <w:rPr>
          <w:rFonts w:hint="eastAsia"/>
          <w:lang w:val="en-US" w:eastAsia="zh-CN"/>
        </w:rPr>
        <w:t>2.4.3.1-1</w:t>
      </w:r>
      <w:r>
        <w:rPr>
          <w:rFonts w:hint="eastAsia"/>
        </w:rPr>
        <w:t xml:space="preserve">      酰化及氟化加成工段工艺流程及产污节点图</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3）污染物产生情况及治理措施</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项目酰化及氟化加成工段污染物产生情况及治理措施如下。</w:t>
      </w:r>
    </w:p>
    <w:p>
      <w:pPr>
        <w:pStyle w:val="146"/>
        <w:spacing w:before="31"/>
      </w:pPr>
      <w:r>
        <w:rPr>
          <w:rFonts w:hint="eastAsia"/>
        </w:rPr>
        <w:t>表</w:t>
      </w:r>
      <w:r>
        <w:rPr>
          <w:rFonts w:hint="eastAsia"/>
          <w:lang w:val="en-US" w:eastAsia="zh-CN"/>
        </w:rPr>
        <w:t>2.4.3.1-1</w:t>
      </w:r>
      <w:r>
        <w:rPr>
          <w:rFonts w:hint="eastAsia"/>
        </w:rPr>
        <w:t xml:space="preserve">      酰化及氟化加成工段污染物产生及治理情况表</w:t>
      </w:r>
    </w:p>
    <w:tbl>
      <w:tblPr>
        <w:tblStyle w:val="43"/>
        <w:tblW w:w="898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5"/>
        <w:gridCol w:w="1418"/>
        <w:gridCol w:w="708"/>
        <w:gridCol w:w="2410"/>
        <w:gridCol w:w="992"/>
        <w:gridCol w:w="15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pPr>
            <w:r>
              <w:rPr>
                <w:rFonts w:hint="eastAsia"/>
              </w:rPr>
              <w:t>污染物类型</w:t>
            </w:r>
          </w:p>
        </w:tc>
        <w:tc>
          <w:tcPr>
            <w:tcW w:w="1185" w:type="dxa"/>
            <w:vAlign w:val="center"/>
          </w:tcPr>
          <w:p>
            <w:pPr>
              <w:pStyle w:val="140"/>
            </w:pPr>
            <w:r>
              <w:rPr>
                <w:rFonts w:hint="eastAsia"/>
              </w:rPr>
              <w:t>装置</w:t>
            </w:r>
          </w:p>
        </w:tc>
        <w:tc>
          <w:tcPr>
            <w:tcW w:w="1418" w:type="dxa"/>
            <w:vAlign w:val="center"/>
          </w:tcPr>
          <w:p>
            <w:pPr>
              <w:pStyle w:val="140"/>
            </w:pPr>
            <w:r>
              <w:rPr>
                <w:rFonts w:hint="eastAsia"/>
              </w:rPr>
              <w:t>污染物名称</w:t>
            </w:r>
          </w:p>
        </w:tc>
        <w:tc>
          <w:tcPr>
            <w:tcW w:w="708" w:type="dxa"/>
            <w:vAlign w:val="center"/>
          </w:tcPr>
          <w:p>
            <w:pPr>
              <w:pStyle w:val="140"/>
            </w:pPr>
            <w:r>
              <w:rPr>
                <w:rFonts w:hint="eastAsia"/>
              </w:rPr>
              <w:t>代号</w:t>
            </w:r>
          </w:p>
        </w:tc>
        <w:tc>
          <w:tcPr>
            <w:tcW w:w="2410" w:type="dxa"/>
            <w:vAlign w:val="center"/>
          </w:tcPr>
          <w:p>
            <w:pPr>
              <w:pStyle w:val="140"/>
            </w:pPr>
            <w:r>
              <w:rPr>
                <w:rFonts w:hint="eastAsia"/>
              </w:rPr>
              <w:t>污染物源强</w:t>
            </w:r>
          </w:p>
        </w:tc>
        <w:tc>
          <w:tcPr>
            <w:tcW w:w="992" w:type="dxa"/>
            <w:vAlign w:val="center"/>
          </w:tcPr>
          <w:p>
            <w:pPr>
              <w:pStyle w:val="140"/>
            </w:pPr>
            <w:r>
              <w:rPr>
                <w:rFonts w:hint="eastAsia"/>
              </w:rPr>
              <w:t>排放时间</w:t>
            </w:r>
          </w:p>
          <w:p>
            <w:pPr>
              <w:pStyle w:val="140"/>
            </w:pPr>
            <w:r>
              <w:rPr>
                <w:rFonts w:hint="eastAsia"/>
              </w:rPr>
              <w:t>（h/a）</w:t>
            </w:r>
          </w:p>
        </w:tc>
        <w:tc>
          <w:tcPr>
            <w:tcW w:w="1510" w:type="dxa"/>
            <w:vAlign w:val="center"/>
          </w:tcPr>
          <w:p>
            <w:pPr>
              <w:pStyle w:val="140"/>
            </w:pPr>
            <w:r>
              <w:rPr>
                <w:rFonts w:hint="eastAsia"/>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pPr>
            <w:r>
              <w:rPr>
                <w:rFonts w:hint="eastAsia"/>
              </w:rPr>
              <w:t>废气污染物</w:t>
            </w:r>
          </w:p>
        </w:tc>
        <w:tc>
          <w:tcPr>
            <w:tcW w:w="1185" w:type="dxa"/>
            <w:vAlign w:val="center"/>
          </w:tcPr>
          <w:p>
            <w:pPr>
              <w:pStyle w:val="140"/>
            </w:pPr>
            <w:r>
              <w:rPr>
                <w:rFonts w:hint="eastAsia"/>
              </w:rPr>
              <w:t>电解槽3</w:t>
            </w:r>
          </w:p>
        </w:tc>
        <w:tc>
          <w:tcPr>
            <w:tcW w:w="1418" w:type="dxa"/>
            <w:vAlign w:val="center"/>
          </w:tcPr>
          <w:p>
            <w:pPr>
              <w:pStyle w:val="140"/>
            </w:pPr>
            <w:r>
              <w:rPr>
                <w:rFonts w:hint="eastAsia"/>
              </w:rPr>
              <w:t>电解槽阴极废气</w:t>
            </w:r>
          </w:p>
        </w:tc>
        <w:tc>
          <w:tcPr>
            <w:tcW w:w="708" w:type="dxa"/>
            <w:vAlign w:val="center"/>
          </w:tcPr>
          <w:p>
            <w:pPr>
              <w:pStyle w:val="140"/>
            </w:pPr>
            <w:r>
              <w:rPr>
                <w:rFonts w:hint="eastAsia"/>
              </w:rPr>
              <w:t>G</w:t>
            </w:r>
            <w:r>
              <w:rPr>
                <w:rFonts w:hint="eastAsia"/>
                <w:vertAlign w:val="subscript"/>
              </w:rPr>
              <w:t>3-6</w:t>
            </w:r>
          </w:p>
        </w:tc>
        <w:tc>
          <w:tcPr>
            <w:tcW w:w="2410" w:type="dxa"/>
            <w:vAlign w:val="center"/>
          </w:tcPr>
          <w:p>
            <w:pPr>
              <w:pStyle w:val="140"/>
              <w:jc w:val="left"/>
              <w:rPr>
                <w:vertAlign w:val="subscript"/>
              </w:rPr>
            </w:pPr>
            <w:r>
              <w:rPr>
                <w:rFonts w:hint="eastAsia"/>
              </w:rPr>
              <w:t>产生量：10Nm</w:t>
            </w:r>
            <w:r>
              <w:rPr>
                <w:rFonts w:hint="eastAsia"/>
                <w:vertAlign w:val="superscript"/>
              </w:rPr>
              <w:t>3</w:t>
            </w:r>
            <w:r>
              <w:rPr>
                <w:rFonts w:hint="eastAsia"/>
              </w:rPr>
              <w:t>/h</w:t>
            </w:r>
          </w:p>
          <w:p>
            <w:pPr>
              <w:pStyle w:val="140"/>
              <w:jc w:val="left"/>
              <w:rPr>
                <w:vertAlign w:val="subscript"/>
              </w:rPr>
            </w:pPr>
            <w:r>
              <w:rPr>
                <w:rFonts w:hint="eastAsia"/>
              </w:rPr>
              <w:t>H</w:t>
            </w:r>
            <w:r>
              <w:rPr>
                <w:rFonts w:hint="eastAsia"/>
                <w:vertAlign w:val="subscript"/>
              </w:rPr>
              <w:t>2</w:t>
            </w:r>
            <w:r>
              <w:rPr>
                <w:rFonts w:hint="eastAsia"/>
              </w:rPr>
              <w:t>:2400mg/m</w:t>
            </w:r>
            <w:r>
              <w:rPr>
                <w:rFonts w:hint="eastAsia"/>
                <w:vertAlign w:val="superscript"/>
              </w:rPr>
              <w:t>3</w:t>
            </w:r>
            <w:r>
              <w:rPr>
                <w:rFonts w:hint="eastAsia"/>
              </w:rPr>
              <w:t>,0.024kg/h</w:t>
            </w:r>
          </w:p>
          <w:p>
            <w:pPr>
              <w:pStyle w:val="140"/>
            </w:pPr>
            <w:r>
              <w:rPr>
                <w:rFonts w:hint="eastAsia"/>
              </w:rPr>
              <w:t>HF: 600mg/m</w:t>
            </w:r>
            <w:r>
              <w:rPr>
                <w:rFonts w:hint="eastAsia"/>
                <w:vertAlign w:val="superscript"/>
              </w:rPr>
              <w:t>3</w:t>
            </w:r>
            <w:r>
              <w:rPr>
                <w:rFonts w:hint="eastAsia"/>
              </w:rPr>
              <w:t>,0.006kg/h</w:t>
            </w:r>
          </w:p>
        </w:tc>
        <w:tc>
          <w:tcPr>
            <w:tcW w:w="992" w:type="dxa"/>
            <w:vAlign w:val="center"/>
          </w:tcPr>
          <w:p>
            <w:pPr>
              <w:pStyle w:val="140"/>
            </w:pPr>
            <w:r>
              <w:rPr>
                <w:rFonts w:hint="eastAsia"/>
              </w:rPr>
              <w:t>6024</w:t>
            </w:r>
          </w:p>
        </w:tc>
        <w:tc>
          <w:tcPr>
            <w:tcW w:w="1510" w:type="dxa"/>
            <w:vMerge w:val="restart"/>
            <w:vAlign w:val="center"/>
          </w:tcPr>
          <w:p>
            <w:pPr>
              <w:pStyle w:val="140"/>
            </w:pPr>
            <w:r>
              <w:rPr>
                <w:rFonts w:hint="eastAsia"/>
              </w:rPr>
              <w:t>经</w:t>
            </w:r>
            <w:r>
              <w:t>二级水洗+碱洗+二级活性炭处理，</w:t>
            </w:r>
            <w:r>
              <w:rPr>
                <w:rFonts w:hint="eastAsia"/>
              </w:rPr>
              <w:t>后经1根25m排气筒排放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电解槽除尘器3</w:t>
            </w:r>
          </w:p>
        </w:tc>
        <w:tc>
          <w:tcPr>
            <w:tcW w:w="1418" w:type="dxa"/>
            <w:vAlign w:val="center"/>
          </w:tcPr>
          <w:p>
            <w:pPr>
              <w:pStyle w:val="140"/>
            </w:pPr>
            <w:r>
              <w:rPr>
                <w:rFonts w:hint="eastAsia"/>
              </w:rPr>
              <w:t>氟气放空废气</w:t>
            </w:r>
          </w:p>
        </w:tc>
        <w:tc>
          <w:tcPr>
            <w:tcW w:w="708" w:type="dxa"/>
            <w:vAlign w:val="center"/>
          </w:tcPr>
          <w:p>
            <w:pPr>
              <w:pStyle w:val="140"/>
            </w:pPr>
            <w:r>
              <w:rPr>
                <w:rFonts w:hint="eastAsia"/>
              </w:rPr>
              <w:t>G</w:t>
            </w:r>
            <w:r>
              <w:rPr>
                <w:rFonts w:hint="eastAsia"/>
                <w:vertAlign w:val="subscript"/>
              </w:rPr>
              <w:t>3-7</w:t>
            </w:r>
          </w:p>
        </w:tc>
        <w:tc>
          <w:tcPr>
            <w:tcW w:w="2410" w:type="dxa"/>
            <w:vAlign w:val="center"/>
          </w:tcPr>
          <w:p>
            <w:pPr>
              <w:pStyle w:val="140"/>
            </w:pPr>
            <w:r>
              <w:rPr>
                <w:rFonts w:hint="eastAsia"/>
              </w:rPr>
              <w:t>产生量:10Nm</w:t>
            </w:r>
            <w:r>
              <w:rPr>
                <w:rFonts w:hint="eastAsia"/>
                <w:vertAlign w:val="superscript"/>
              </w:rPr>
              <w:t>3</w:t>
            </w:r>
            <w:r>
              <w:rPr>
                <w:rFonts w:hint="eastAsia"/>
              </w:rPr>
              <w:t>/h</w:t>
            </w:r>
          </w:p>
          <w:p>
            <w:pPr>
              <w:pStyle w:val="140"/>
              <w:jc w:val="left"/>
              <w:rPr>
                <w:vertAlign w:val="subscript"/>
              </w:rPr>
            </w:pPr>
            <w:r>
              <w:rPr>
                <w:rFonts w:hint="eastAsia"/>
              </w:rPr>
              <w:t>F</w:t>
            </w:r>
            <w:r>
              <w:rPr>
                <w:rFonts w:hint="eastAsia"/>
                <w:vertAlign w:val="subscript"/>
              </w:rPr>
              <w:t>2</w:t>
            </w:r>
            <w:r>
              <w:rPr>
                <w:rFonts w:hint="eastAsia"/>
              </w:rPr>
              <w:t>:10200mg/m</w:t>
            </w:r>
            <w:r>
              <w:rPr>
                <w:rFonts w:hint="eastAsia"/>
                <w:vertAlign w:val="superscript"/>
              </w:rPr>
              <w:t>3</w:t>
            </w:r>
            <w:r>
              <w:rPr>
                <w:rFonts w:hint="eastAsia"/>
              </w:rPr>
              <w:t>,0.102kg/h</w:t>
            </w:r>
          </w:p>
          <w:p>
            <w:pPr>
              <w:pStyle w:val="140"/>
            </w:pPr>
            <w:r>
              <w:rPr>
                <w:rFonts w:hint="eastAsia"/>
              </w:rPr>
              <w:t>HF: 200mg/m</w:t>
            </w:r>
            <w:r>
              <w:rPr>
                <w:rFonts w:hint="eastAsia"/>
                <w:vertAlign w:val="superscript"/>
              </w:rPr>
              <w:t>3</w:t>
            </w:r>
            <w:r>
              <w:rPr>
                <w:rFonts w:hint="eastAsia"/>
              </w:rPr>
              <w:t>,0.002kg/h</w:t>
            </w:r>
          </w:p>
        </w:tc>
        <w:tc>
          <w:tcPr>
            <w:tcW w:w="992" w:type="dxa"/>
            <w:vAlign w:val="center"/>
          </w:tcPr>
          <w:p>
            <w:pPr>
              <w:pStyle w:val="140"/>
            </w:pPr>
            <w:r>
              <w:rPr>
                <w:rFonts w:hint="eastAsia"/>
              </w:rPr>
              <w:t>288</w:t>
            </w:r>
          </w:p>
        </w:tc>
        <w:tc>
          <w:tcPr>
            <w:tcW w:w="1510"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pPr>
          </w:p>
        </w:tc>
        <w:tc>
          <w:tcPr>
            <w:tcW w:w="1185" w:type="dxa"/>
            <w:vAlign w:val="center"/>
          </w:tcPr>
          <w:p>
            <w:pPr>
              <w:pStyle w:val="140"/>
            </w:pPr>
            <w:r>
              <w:rPr>
                <w:rFonts w:hint="eastAsia"/>
              </w:rPr>
              <w:t>吸收反应器</w:t>
            </w:r>
          </w:p>
        </w:tc>
        <w:tc>
          <w:tcPr>
            <w:tcW w:w="1418" w:type="dxa"/>
            <w:vAlign w:val="center"/>
          </w:tcPr>
          <w:p>
            <w:pPr>
              <w:pStyle w:val="140"/>
            </w:pPr>
            <w:r>
              <w:rPr>
                <w:rFonts w:hint="eastAsia"/>
              </w:rPr>
              <w:t>反应废气</w:t>
            </w:r>
          </w:p>
        </w:tc>
        <w:tc>
          <w:tcPr>
            <w:tcW w:w="708" w:type="dxa"/>
            <w:vAlign w:val="center"/>
          </w:tcPr>
          <w:p>
            <w:pPr>
              <w:pStyle w:val="140"/>
            </w:pPr>
            <w:r>
              <w:rPr>
                <w:rFonts w:hint="eastAsia"/>
              </w:rPr>
              <w:t>G</w:t>
            </w:r>
            <w:r>
              <w:rPr>
                <w:rFonts w:hint="eastAsia"/>
                <w:vertAlign w:val="subscript"/>
              </w:rPr>
              <w:t>3-8</w:t>
            </w:r>
          </w:p>
        </w:tc>
        <w:tc>
          <w:tcPr>
            <w:tcW w:w="2410" w:type="dxa"/>
            <w:vAlign w:val="center"/>
          </w:tcPr>
          <w:p>
            <w:pPr>
              <w:pStyle w:val="140"/>
            </w:pPr>
            <w:r>
              <w:rPr>
                <w:rFonts w:hint="eastAsia"/>
              </w:rPr>
              <w:t>产生量:20Nm</w:t>
            </w:r>
            <w:r>
              <w:rPr>
                <w:rFonts w:hint="eastAsia"/>
                <w:vertAlign w:val="superscript"/>
              </w:rPr>
              <w:t>3</w:t>
            </w:r>
            <w:r>
              <w:rPr>
                <w:rFonts w:hint="eastAsia"/>
              </w:rPr>
              <w:t>/h</w:t>
            </w:r>
          </w:p>
          <w:p>
            <w:pPr>
              <w:pStyle w:val="140"/>
            </w:pPr>
            <w:r>
              <w:rPr>
                <w:rFonts w:hint="eastAsia"/>
              </w:rPr>
              <w:t>CO: 1870mg/m</w:t>
            </w:r>
            <w:r>
              <w:rPr>
                <w:rFonts w:hint="eastAsia"/>
                <w:vertAlign w:val="superscript"/>
              </w:rPr>
              <w:t>3</w:t>
            </w:r>
            <w:r>
              <w:rPr>
                <w:rFonts w:hint="eastAsia"/>
              </w:rPr>
              <w:t>, 0.037kg/h</w:t>
            </w:r>
          </w:p>
          <w:p>
            <w:pPr>
              <w:pStyle w:val="140"/>
            </w:pPr>
            <w:r>
              <w:rPr>
                <w:rFonts w:hint="eastAsia"/>
              </w:rPr>
              <w:t>COF2: 1870mg/m</w:t>
            </w:r>
            <w:r>
              <w:rPr>
                <w:rFonts w:hint="eastAsia"/>
                <w:vertAlign w:val="superscript"/>
              </w:rPr>
              <w:t>3</w:t>
            </w:r>
            <w:r>
              <w:rPr>
                <w:rFonts w:hint="eastAsia"/>
              </w:rPr>
              <w:t>,0.037kg/h</w:t>
            </w:r>
          </w:p>
        </w:tc>
        <w:tc>
          <w:tcPr>
            <w:tcW w:w="992" w:type="dxa"/>
            <w:vAlign w:val="center"/>
          </w:tcPr>
          <w:p>
            <w:pPr>
              <w:pStyle w:val="140"/>
            </w:pPr>
            <w:r>
              <w:rPr>
                <w:rFonts w:hint="eastAsia"/>
              </w:rPr>
              <w:t>6024</w:t>
            </w:r>
          </w:p>
        </w:tc>
        <w:tc>
          <w:tcPr>
            <w:tcW w:w="1510"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热氟化反应器</w:t>
            </w:r>
          </w:p>
        </w:tc>
        <w:tc>
          <w:tcPr>
            <w:tcW w:w="1418" w:type="dxa"/>
            <w:vAlign w:val="center"/>
          </w:tcPr>
          <w:p>
            <w:pPr>
              <w:pStyle w:val="140"/>
            </w:pPr>
            <w:r>
              <w:rPr>
                <w:rFonts w:hint="eastAsia"/>
              </w:rPr>
              <w:t>反应废气</w:t>
            </w:r>
          </w:p>
        </w:tc>
        <w:tc>
          <w:tcPr>
            <w:tcW w:w="708" w:type="dxa"/>
            <w:vAlign w:val="center"/>
          </w:tcPr>
          <w:p>
            <w:pPr>
              <w:pStyle w:val="140"/>
            </w:pPr>
            <w:r>
              <w:rPr>
                <w:rFonts w:hint="eastAsia"/>
              </w:rPr>
              <w:t>G</w:t>
            </w:r>
            <w:r>
              <w:rPr>
                <w:rFonts w:hint="eastAsia"/>
                <w:vertAlign w:val="subscript"/>
              </w:rPr>
              <w:t>3-9</w:t>
            </w:r>
          </w:p>
        </w:tc>
        <w:tc>
          <w:tcPr>
            <w:tcW w:w="2410" w:type="dxa"/>
            <w:vAlign w:val="center"/>
          </w:tcPr>
          <w:p>
            <w:pPr>
              <w:pStyle w:val="140"/>
            </w:pPr>
            <w:r>
              <w:rPr>
                <w:rFonts w:hint="eastAsia"/>
              </w:rPr>
              <w:t>产生量:10Nm</w:t>
            </w:r>
            <w:r>
              <w:rPr>
                <w:rFonts w:hint="eastAsia"/>
                <w:vertAlign w:val="superscript"/>
              </w:rPr>
              <w:t>3</w:t>
            </w:r>
            <w:r>
              <w:rPr>
                <w:rFonts w:hint="eastAsia"/>
              </w:rPr>
              <w:t>/h</w:t>
            </w:r>
          </w:p>
          <w:p>
            <w:pPr>
              <w:pStyle w:val="140"/>
            </w:pPr>
            <w:r>
              <w:rPr>
                <w:rFonts w:hint="eastAsia"/>
              </w:rPr>
              <w:t>F</w:t>
            </w:r>
            <w:r>
              <w:rPr>
                <w:rFonts w:hint="eastAsia"/>
                <w:vertAlign w:val="subscript"/>
              </w:rPr>
              <w:t>2</w:t>
            </w:r>
            <w:r>
              <w:rPr>
                <w:rFonts w:hint="eastAsia"/>
              </w:rPr>
              <w:t>: 5000mg/m</w:t>
            </w:r>
            <w:r>
              <w:rPr>
                <w:rFonts w:hint="eastAsia"/>
                <w:vertAlign w:val="superscript"/>
              </w:rPr>
              <w:t>3</w:t>
            </w:r>
            <w:r>
              <w:rPr>
                <w:rFonts w:hint="eastAsia"/>
              </w:rPr>
              <w:t>, 0.05kg/h</w:t>
            </w:r>
          </w:p>
          <w:p>
            <w:pPr>
              <w:pStyle w:val="140"/>
              <w:rPr>
                <w:b/>
              </w:rPr>
            </w:pPr>
            <w:r>
              <w:rPr>
                <w:rFonts w:hint="eastAsia"/>
              </w:rPr>
              <w:t>COF2:250mg/m</w:t>
            </w:r>
            <w:r>
              <w:rPr>
                <w:rFonts w:hint="eastAsia"/>
                <w:vertAlign w:val="superscript"/>
              </w:rPr>
              <w:t>3</w:t>
            </w:r>
            <w:r>
              <w:rPr>
                <w:rFonts w:hint="eastAsia"/>
              </w:rPr>
              <w:t>, 0.0025kg/h</w:t>
            </w:r>
          </w:p>
        </w:tc>
        <w:tc>
          <w:tcPr>
            <w:tcW w:w="992" w:type="dxa"/>
            <w:vAlign w:val="center"/>
          </w:tcPr>
          <w:p>
            <w:pPr>
              <w:pStyle w:val="140"/>
            </w:pPr>
            <w:r>
              <w:rPr>
                <w:rFonts w:hint="eastAsia"/>
              </w:rPr>
              <w:t>6024</w:t>
            </w:r>
          </w:p>
        </w:tc>
        <w:tc>
          <w:tcPr>
            <w:tcW w:w="1510"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F2除酸罐</w:t>
            </w:r>
          </w:p>
        </w:tc>
        <w:tc>
          <w:tcPr>
            <w:tcW w:w="1418" w:type="dxa"/>
            <w:vAlign w:val="center"/>
          </w:tcPr>
          <w:p>
            <w:pPr>
              <w:pStyle w:val="140"/>
            </w:pPr>
            <w:r>
              <w:rPr>
                <w:rFonts w:hint="eastAsia"/>
              </w:rPr>
              <w:t>吹扫废气</w:t>
            </w:r>
          </w:p>
        </w:tc>
        <w:tc>
          <w:tcPr>
            <w:tcW w:w="708" w:type="dxa"/>
            <w:vAlign w:val="center"/>
          </w:tcPr>
          <w:p>
            <w:pPr>
              <w:pStyle w:val="140"/>
            </w:pPr>
            <w:r>
              <w:rPr>
                <w:rFonts w:hint="eastAsia"/>
              </w:rPr>
              <w:t>G</w:t>
            </w:r>
            <w:r>
              <w:rPr>
                <w:rFonts w:hint="eastAsia"/>
                <w:vertAlign w:val="subscript"/>
              </w:rPr>
              <w:t>3-10.1</w:t>
            </w:r>
          </w:p>
        </w:tc>
        <w:tc>
          <w:tcPr>
            <w:tcW w:w="2410" w:type="dxa"/>
            <w:vAlign w:val="center"/>
          </w:tcPr>
          <w:p>
            <w:pPr>
              <w:pStyle w:val="140"/>
            </w:pPr>
            <w:r>
              <w:rPr>
                <w:rFonts w:hint="eastAsia"/>
              </w:rPr>
              <w:t>产生量:2Nm</w:t>
            </w:r>
            <w:r>
              <w:rPr>
                <w:rFonts w:hint="eastAsia"/>
                <w:vertAlign w:val="superscript"/>
              </w:rPr>
              <w:t>3</w:t>
            </w:r>
            <w:r>
              <w:rPr>
                <w:rFonts w:hint="eastAsia"/>
              </w:rPr>
              <w:t>/h</w:t>
            </w:r>
          </w:p>
          <w:p>
            <w:pPr>
              <w:pStyle w:val="140"/>
            </w:pPr>
            <w:r>
              <w:rPr>
                <w:rFonts w:hint="eastAsia"/>
              </w:rPr>
              <w:t>HF:3333mg/m</w:t>
            </w:r>
            <w:r>
              <w:rPr>
                <w:rFonts w:hint="eastAsia"/>
                <w:vertAlign w:val="superscript"/>
              </w:rPr>
              <w:t>3</w:t>
            </w:r>
            <w:r>
              <w:rPr>
                <w:rFonts w:hint="eastAsia"/>
              </w:rPr>
              <w:t>, 0.007kg/h</w:t>
            </w:r>
          </w:p>
        </w:tc>
        <w:tc>
          <w:tcPr>
            <w:tcW w:w="992" w:type="dxa"/>
            <w:vAlign w:val="center"/>
          </w:tcPr>
          <w:p>
            <w:pPr>
              <w:pStyle w:val="140"/>
            </w:pPr>
            <w:r>
              <w:rPr>
                <w:rFonts w:hint="eastAsia"/>
              </w:rPr>
              <w:t>5</w:t>
            </w:r>
          </w:p>
        </w:tc>
        <w:tc>
          <w:tcPr>
            <w:tcW w:w="1510"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CF3OF</w:t>
            </w:r>
          </w:p>
          <w:p>
            <w:pPr>
              <w:pStyle w:val="140"/>
            </w:pPr>
            <w:r>
              <w:rPr>
                <w:rFonts w:hint="eastAsia"/>
              </w:rPr>
              <w:t>除酸罐</w:t>
            </w:r>
          </w:p>
        </w:tc>
        <w:tc>
          <w:tcPr>
            <w:tcW w:w="1418" w:type="dxa"/>
            <w:vAlign w:val="center"/>
          </w:tcPr>
          <w:p>
            <w:pPr>
              <w:pStyle w:val="140"/>
            </w:pPr>
            <w:r>
              <w:rPr>
                <w:rFonts w:hint="eastAsia"/>
              </w:rPr>
              <w:t>吹扫废气</w:t>
            </w:r>
          </w:p>
        </w:tc>
        <w:tc>
          <w:tcPr>
            <w:tcW w:w="708" w:type="dxa"/>
            <w:vAlign w:val="center"/>
          </w:tcPr>
          <w:p>
            <w:pPr>
              <w:pStyle w:val="140"/>
            </w:pPr>
            <w:r>
              <w:rPr>
                <w:rFonts w:hint="eastAsia"/>
              </w:rPr>
              <w:t>G</w:t>
            </w:r>
            <w:r>
              <w:rPr>
                <w:rFonts w:hint="eastAsia"/>
                <w:vertAlign w:val="subscript"/>
              </w:rPr>
              <w:t>3-10.2</w:t>
            </w:r>
          </w:p>
        </w:tc>
        <w:tc>
          <w:tcPr>
            <w:tcW w:w="2410" w:type="dxa"/>
            <w:vAlign w:val="center"/>
          </w:tcPr>
          <w:p>
            <w:pPr>
              <w:pStyle w:val="140"/>
            </w:pPr>
            <w:r>
              <w:rPr>
                <w:rFonts w:hint="eastAsia"/>
              </w:rPr>
              <w:t>产生量:2Nm</w:t>
            </w:r>
            <w:r>
              <w:rPr>
                <w:rFonts w:hint="eastAsia"/>
                <w:vertAlign w:val="superscript"/>
              </w:rPr>
              <w:t>3</w:t>
            </w:r>
            <w:r>
              <w:rPr>
                <w:rFonts w:hint="eastAsia"/>
              </w:rPr>
              <w:t>/h</w:t>
            </w:r>
          </w:p>
          <w:p>
            <w:pPr>
              <w:pStyle w:val="140"/>
            </w:pPr>
            <w:r>
              <w:rPr>
                <w:rFonts w:hint="eastAsia"/>
              </w:rPr>
              <w:t>HF:3333mg/m</w:t>
            </w:r>
            <w:r>
              <w:rPr>
                <w:rFonts w:hint="eastAsia"/>
                <w:vertAlign w:val="superscript"/>
              </w:rPr>
              <w:t>3</w:t>
            </w:r>
            <w:r>
              <w:rPr>
                <w:rFonts w:hint="eastAsia"/>
              </w:rPr>
              <w:t>, 0.007kg/h</w:t>
            </w:r>
          </w:p>
        </w:tc>
        <w:tc>
          <w:tcPr>
            <w:tcW w:w="992" w:type="dxa"/>
            <w:vAlign w:val="center"/>
          </w:tcPr>
          <w:p>
            <w:pPr>
              <w:pStyle w:val="140"/>
            </w:pPr>
            <w:r>
              <w:rPr>
                <w:rFonts w:hint="eastAsia"/>
              </w:rPr>
              <w:t>5</w:t>
            </w:r>
          </w:p>
        </w:tc>
        <w:tc>
          <w:tcPr>
            <w:tcW w:w="1510"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pPr>
          </w:p>
        </w:tc>
        <w:tc>
          <w:tcPr>
            <w:tcW w:w="1185" w:type="dxa"/>
            <w:vAlign w:val="center"/>
          </w:tcPr>
          <w:p>
            <w:pPr>
              <w:pStyle w:val="140"/>
            </w:pPr>
            <w:r>
              <w:rPr>
                <w:rFonts w:hint="eastAsia"/>
              </w:rPr>
              <w:t>CClF= CClF</w:t>
            </w:r>
          </w:p>
          <w:p>
            <w:pPr>
              <w:pStyle w:val="140"/>
            </w:pPr>
            <w:r>
              <w:rPr>
                <w:rFonts w:hint="eastAsia"/>
              </w:rPr>
              <w:t>除酸罐</w:t>
            </w:r>
          </w:p>
        </w:tc>
        <w:tc>
          <w:tcPr>
            <w:tcW w:w="1418" w:type="dxa"/>
            <w:vAlign w:val="center"/>
          </w:tcPr>
          <w:p>
            <w:pPr>
              <w:pStyle w:val="140"/>
            </w:pPr>
            <w:r>
              <w:rPr>
                <w:rFonts w:hint="eastAsia"/>
              </w:rPr>
              <w:t>吹扫废气</w:t>
            </w:r>
          </w:p>
        </w:tc>
        <w:tc>
          <w:tcPr>
            <w:tcW w:w="708" w:type="dxa"/>
            <w:vAlign w:val="center"/>
          </w:tcPr>
          <w:p>
            <w:pPr>
              <w:pStyle w:val="140"/>
            </w:pPr>
            <w:r>
              <w:rPr>
                <w:rFonts w:hint="eastAsia"/>
              </w:rPr>
              <w:t>G</w:t>
            </w:r>
            <w:r>
              <w:rPr>
                <w:rFonts w:hint="eastAsia"/>
                <w:vertAlign w:val="subscript"/>
              </w:rPr>
              <w:t>3-10.3</w:t>
            </w:r>
          </w:p>
        </w:tc>
        <w:tc>
          <w:tcPr>
            <w:tcW w:w="2410" w:type="dxa"/>
            <w:vAlign w:val="center"/>
          </w:tcPr>
          <w:p>
            <w:pPr>
              <w:pStyle w:val="140"/>
            </w:pPr>
            <w:r>
              <w:rPr>
                <w:rFonts w:hint="eastAsia"/>
              </w:rPr>
              <w:t>产生量:2Nm</w:t>
            </w:r>
            <w:r>
              <w:rPr>
                <w:rFonts w:hint="eastAsia"/>
                <w:vertAlign w:val="superscript"/>
              </w:rPr>
              <w:t>3</w:t>
            </w:r>
            <w:r>
              <w:rPr>
                <w:rFonts w:hint="eastAsia"/>
              </w:rPr>
              <w:t>/h</w:t>
            </w:r>
          </w:p>
          <w:p>
            <w:pPr>
              <w:pStyle w:val="140"/>
            </w:pPr>
            <w:r>
              <w:rPr>
                <w:rFonts w:hint="eastAsia"/>
              </w:rPr>
              <w:t>HF:3333mg/m</w:t>
            </w:r>
            <w:r>
              <w:rPr>
                <w:rFonts w:hint="eastAsia"/>
                <w:vertAlign w:val="superscript"/>
              </w:rPr>
              <w:t>3</w:t>
            </w:r>
            <w:r>
              <w:rPr>
                <w:rFonts w:hint="eastAsia"/>
              </w:rPr>
              <w:t>, 0.007kg/h</w:t>
            </w:r>
          </w:p>
        </w:tc>
        <w:tc>
          <w:tcPr>
            <w:tcW w:w="992" w:type="dxa"/>
            <w:vAlign w:val="center"/>
          </w:tcPr>
          <w:p>
            <w:pPr>
              <w:pStyle w:val="140"/>
            </w:pPr>
            <w:r>
              <w:rPr>
                <w:rFonts w:hint="eastAsia"/>
              </w:rPr>
              <w:t>5</w:t>
            </w:r>
          </w:p>
        </w:tc>
        <w:tc>
          <w:tcPr>
            <w:tcW w:w="1510"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pPr>
            <w:r>
              <w:rPr>
                <w:rFonts w:hint="eastAsia"/>
              </w:rPr>
              <w:t>固体废物</w:t>
            </w:r>
          </w:p>
        </w:tc>
        <w:tc>
          <w:tcPr>
            <w:tcW w:w="1185" w:type="dxa"/>
            <w:vAlign w:val="center"/>
          </w:tcPr>
          <w:p>
            <w:pPr>
              <w:pStyle w:val="140"/>
            </w:pPr>
            <w:r>
              <w:rPr>
                <w:rFonts w:hint="eastAsia"/>
              </w:rPr>
              <w:t>电解槽3</w:t>
            </w:r>
          </w:p>
        </w:tc>
        <w:tc>
          <w:tcPr>
            <w:tcW w:w="1418" w:type="dxa"/>
            <w:vAlign w:val="center"/>
          </w:tcPr>
          <w:p>
            <w:pPr>
              <w:pStyle w:val="140"/>
            </w:pPr>
            <w:r>
              <w:rPr>
                <w:rFonts w:hint="eastAsia"/>
              </w:rPr>
              <w:t>电解槽废电解质</w:t>
            </w:r>
          </w:p>
        </w:tc>
        <w:tc>
          <w:tcPr>
            <w:tcW w:w="708" w:type="dxa"/>
            <w:vAlign w:val="center"/>
          </w:tcPr>
          <w:p>
            <w:pPr>
              <w:pStyle w:val="140"/>
            </w:pPr>
            <w:r>
              <w:rPr>
                <w:rFonts w:hint="eastAsia"/>
              </w:rPr>
              <w:t>S</w:t>
            </w:r>
            <w:r>
              <w:rPr>
                <w:rFonts w:hint="eastAsia"/>
                <w:vertAlign w:val="subscript"/>
              </w:rPr>
              <w:t>3-3</w:t>
            </w:r>
          </w:p>
        </w:tc>
        <w:tc>
          <w:tcPr>
            <w:tcW w:w="2410" w:type="dxa"/>
            <w:vAlign w:val="center"/>
          </w:tcPr>
          <w:p>
            <w:pPr>
              <w:pStyle w:val="140"/>
              <w:rPr>
                <w:rFonts w:hint="eastAsia"/>
              </w:rPr>
            </w:pPr>
            <w:r>
              <w:rPr>
                <w:rFonts w:hint="eastAsia"/>
              </w:rPr>
              <w:t>产生量：2.7t/a</w:t>
            </w:r>
          </w:p>
          <w:p>
            <w:pPr>
              <w:pStyle w:val="140"/>
            </w:pPr>
            <w:r>
              <w:rPr>
                <w:rFonts w:hint="eastAsia"/>
              </w:rPr>
              <w:t>钾盐（KF、KF·HF、</w:t>
            </w:r>
          </w:p>
          <w:p>
            <w:pPr>
              <w:pStyle w:val="140"/>
            </w:pPr>
            <w:r>
              <w:rPr>
                <w:rFonts w:hint="eastAsia"/>
              </w:rPr>
              <w:t>KF.2HF等）</w:t>
            </w:r>
          </w:p>
        </w:tc>
        <w:tc>
          <w:tcPr>
            <w:tcW w:w="992" w:type="dxa"/>
            <w:vAlign w:val="center"/>
          </w:tcPr>
          <w:p>
            <w:pPr>
              <w:pStyle w:val="140"/>
            </w:pPr>
          </w:p>
        </w:tc>
        <w:tc>
          <w:tcPr>
            <w:tcW w:w="1510" w:type="dxa"/>
            <w:vAlign w:val="center"/>
          </w:tcPr>
          <w:p>
            <w:pPr>
              <w:pStyle w:val="140"/>
            </w:pPr>
            <w:r>
              <w:rPr>
                <w:rFonts w:hint="eastAsia"/>
              </w:rPr>
              <w:t>返回厂家回收</w:t>
            </w:r>
          </w:p>
        </w:tc>
      </w:tr>
    </w:tbl>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2.4.3.2</w:t>
      </w:r>
      <w:r>
        <w:rPr>
          <w:rFonts w:hint="eastAsia" w:ascii="Times New Roman" w:hAnsi="Times New Roman" w:eastAsia="宋体" w:cs="Times New Roman"/>
          <w:kern w:val="2"/>
          <w:sz w:val="24"/>
          <w:szCs w:val="24"/>
          <w:lang w:val="en-US" w:eastAsia="zh-CN" w:bidi="ar-SA"/>
        </w:rPr>
        <w:t xml:space="preserve">  精馏、脱氯及单体精馏工段</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1）工艺原理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第一次精馏，主要是通过控制条件，脱除加成物中残余的CF3OCFClCF2Cl、氟氯油等物质，提升加成物（1-三氟甲氧基二氟甲基三氟二氯乙基醚，CF3OCF2OCFClCF2Cl）的纯度，加强脱氯效果。</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脱氯、精留工序主要是将精馏提纯后的加成物进行脱氯生成粗单体、再将粗单体进行精馏即可制得聚合级第四单体。本工序脱氯以DMF为溶剂，采用传统的锌粉脱氯法。加成物在强级性溶剂N,N-二甲基甲酰胺（DMF）存在下与活性锌粉发生脱氯反应，得到粗单体（CF3OCF2OCF=CF2），即项目目标产物第四单体。反应方程式以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object>
          <v:shape id="_x0000_i1031" o:spt="75" type="#_x0000_t75" style="height:19pt;width:299.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    第四单体加成物中可能存在杂质发生脱氯反应：</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object>
          <v:shape id="_x0000_i1032" o:spt="75" type="#_x0000_t75" style="height:19pt;width:246pt;" o:ole="t" filled="f" o:preferrelative="t" stroked="f" coordsize="21600,21600">
            <v:path/>
            <v:fill on="f" focussize="0,0"/>
            <v:stroke on="f" joinstyle="miter"/>
            <v:imagedata r:id="rId34" o:title=""/>
            <o:lock v:ext="edit" aspectratio="t"/>
            <w10:wrap type="none"/>
            <w10:anchorlock/>
          </v:shape>
          <o:OLEObject Type="Embed" ProgID="Equation.3" ShapeID="_x0000_i1032" DrawAspect="Content" ObjectID="_1468075732" r:id="rId33">
            <o:LockedField>false</o:LockedField>
          </o:OLEObject>
        </w:objec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由于原料成分复杂，脱氯反应生产的粗单体中杂质较多，采用常压间歇精馏的方法，分离出精四单体（CF3OCF2OCF=CF2）供聚合用。</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2）工艺流程及产污节点</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精馏工段设三个精馏塔。来自酰化及氟化加成工段出来的加成物进入第一精馏塔中部，顶部馏出份中主要含CF3OCFClCF2Cl，采用冷凝器冷凝后送PMVE回收系统，不凝气（G3-11）经二级水洗+碱洗+二级活性炭处理。第一精馏塔塔釜物进入第二精馏塔塔中，塔釜残液（S3-4）收集后送厂区等离子焚烧炉处理，塔顶物料进入第三精馏塔，塔釜物为精馏提纯后的加成物CF3OCF2OCFClCF2Cl进入加成物储槽暂存，塔顶物料中主要含CF3OCFClCF2Cl，经冷凝器冷凝后送PMVE回收系统。精馏塔2与精馏塔3冷凝器产生的不凝气（G3-12、G3-13）经二级水洗+碱洗+二级活性炭处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加成物（CF3OCF2OCFClCF2Cl）在脱氯釜中以DMF为溶剂，与锌粉在常温常压下进行脱氯反应，气相物质为目标产物第四单体和加成物的混合物质。因此，在反应釜顶部采用回流冷凝器（5℃）将气相中的加成物（CF3OCF2OCFClCF2Cl）冷凝回到反应釜，而回流冷凝器无法冷却下来的成分（主要含第四单体和少量的四氟乙烯）则通过冷凝器（-40℃）进一步冷凝后，进入粗单体储槽暂存。反应结束后，反应釜中的液相主要为DMF，并混有少量锌粉、氯化锌及加成物，收集后送至DMF回收工序。反应器不凝气（G3-14）经二级水洗+碱洗+二级活性炭处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粗单体采用两级精馏的方式进行提纯，其中第一个精馏塔采用加压精馏（0.1MPa），第二个精馏塔为常压塔。精四单体（CF3OCF2OCF=CF2）为目标产物。塔釜微量高沸物（S3-5）送厂区等离子焚烧炉处理，两个精馏塔冷凝器产生的不凝气（G3-15、G3-16）经二级水洗+碱洗+二级活性炭处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该工段的工艺流程及产污位置见下图。</w:t>
      </w:r>
    </w:p>
    <w:p>
      <w:pPr>
        <w:spacing w:before="156" w:beforeLines="50" w:line="240" w:lineRule="auto"/>
        <w:ind w:firstLine="0" w:firstLineChars="0"/>
        <w:jc w:val="center"/>
        <w:rPr>
          <w:rFonts w:ascii="黑体" w:eastAsia="黑体"/>
        </w:rPr>
      </w:pPr>
      <w:r>
        <w:rPr>
          <w:rFonts w:ascii="黑体" w:eastAsia="黑体"/>
        </w:rPr>
        <w:object>
          <v:shape id="_x0000_i1033" o:spt="75" type="#_x0000_t75" style="height:655pt;width:397pt;" o:ole="t" filled="f" o:preferrelative="t" stroked="f" coordsize="21600,21600">
            <v:path/>
            <v:fill on="f" focussize="0,0"/>
            <v:stroke on="f" joinstyle="miter"/>
            <v:imagedata r:id="rId36" o:title=""/>
            <o:lock v:ext="edit" aspectratio="t"/>
            <w10:wrap type="none"/>
            <w10:anchorlock/>
          </v:shape>
          <o:OLEObject Type="Embed" ProgID="Visio.Drawing.11" ShapeID="_x0000_i1033" DrawAspect="Content" ObjectID="_1468075733" r:id="rId35">
            <o:LockedField>false</o:LockedField>
          </o:OLEObject>
        </w:object>
      </w:r>
    </w:p>
    <w:p>
      <w:pPr>
        <w:pStyle w:val="146"/>
        <w:spacing w:beforeLines="0"/>
        <w:ind w:firstLine="400"/>
      </w:pPr>
      <w:r>
        <w:rPr>
          <w:rFonts w:hint="eastAsia"/>
        </w:rPr>
        <w:t>图</w:t>
      </w:r>
      <w:r>
        <w:rPr>
          <w:rFonts w:hint="eastAsia" w:cs="Times New Roman"/>
          <w:kern w:val="2"/>
          <w:sz w:val="24"/>
          <w:szCs w:val="24"/>
          <w:lang w:val="en-US" w:eastAsia="zh-CN" w:bidi="ar-SA"/>
        </w:rPr>
        <w:t>2.4.3.2-1</w:t>
      </w:r>
      <w:r>
        <w:rPr>
          <w:rFonts w:hint="eastAsia"/>
        </w:rPr>
        <w:t xml:space="preserve">     精馏、脱氯及单体精馏</w:t>
      </w:r>
      <w:r>
        <w:rPr>
          <w:rFonts w:hint="eastAsia"/>
          <w:snapToGrid w:val="0"/>
          <w:kern w:val="0"/>
        </w:rPr>
        <w:t>工段</w:t>
      </w:r>
      <w:r>
        <w:rPr>
          <w:rFonts w:hint="eastAsia"/>
        </w:rPr>
        <w:t>工艺流程及产污节点图</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3）污染物产生情况及治理措施</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项目精馏、脱氯及单体精馏工段污染物产生及治理情况见下表。</w:t>
      </w:r>
    </w:p>
    <w:p>
      <w:pPr>
        <w:pStyle w:val="146"/>
        <w:spacing w:beforeLines="0"/>
        <w:ind w:firstLine="400"/>
      </w:pPr>
      <w:r>
        <w:rPr>
          <w:rFonts w:hint="eastAsia"/>
        </w:rPr>
        <w:t>表</w:t>
      </w:r>
      <w:r>
        <w:rPr>
          <w:rFonts w:hint="eastAsia" w:cs="Times New Roman"/>
          <w:kern w:val="2"/>
          <w:sz w:val="24"/>
          <w:szCs w:val="24"/>
          <w:lang w:val="en-US" w:eastAsia="zh-CN" w:bidi="ar-SA"/>
        </w:rPr>
        <w:t>2.4.3.2-1</w:t>
      </w:r>
      <w:r>
        <w:rPr>
          <w:rFonts w:hint="eastAsia"/>
        </w:rPr>
        <w:t xml:space="preserve">     精馏、脱氯及单体精馏</w:t>
      </w:r>
      <w:r>
        <w:rPr>
          <w:rFonts w:hint="eastAsia"/>
          <w:snapToGrid w:val="0"/>
          <w:kern w:val="0"/>
        </w:rPr>
        <w:t>工段污染物产生及治理情况表</w:t>
      </w:r>
    </w:p>
    <w:tbl>
      <w:tblPr>
        <w:tblStyle w:val="43"/>
        <w:tblW w:w="875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5"/>
        <w:gridCol w:w="851"/>
        <w:gridCol w:w="708"/>
        <w:gridCol w:w="2835"/>
        <w:gridCol w:w="993"/>
        <w:gridCol w:w="1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pPr>
            <w:r>
              <w:rPr>
                <w:rFonts w:hint="eastAsia"/>
              </w:rPr>
              <w:t>污染物类型</w:t>
            </w:r>
          </w:p>
        </w:tc>
        <w:tc>
          <w:tcPr>
            <w:tcW w:w="1185" w:type="dxa"/>
            <w:vAlign w:val="center"/>
          </w:tcPr>
          <w:p>
            <w:pPr>
              <w:pStyle w:val="140"/>
            </w:pPr>
            <w:r>
              <w:rPr>
                <w:rFonts w:hint="eastAsia"/>
              </w:rPr>
              <w:t>装置</w:t>
            </w:r>
          </w:p>
        </w:tc>
        <w:tc>
          <w:tcPr>
            <w:tcW w:w="851" w:type="dxa"/>
            <w:vAlign w:val="center"/>
          </w:tcPr>
          <w:p>
            <w:pPr>
              <w:pStyle w:val="140"/>
            </w:pPr>
            <w:r>
              <w:rPr>
                <w:rFonts w:hint="eastAsia"/>
              </w:rPr>
              <w:t>污染物名称</w:t>
            </w:r>
          </w:p>
        </w:tc>
        <w:tc>
          <w:tcPr>
            <w:tcW w:w="708" w:type="dxa"/>
            <w:vAlign w:val="center"/>
          </w:tcPr>
          <w:p>
            <w:pPr>
              <w:pStyle w:val="140"/>
            </w:pPr>
            <w:r>
              <w:rPr>
                <w:rFonts w:hint="eastAsia"/>
              </w:rPr>
              <w:t>代号</w:t>
            </w:r>
          </w:p>
        </w:tc>
        <w:tc>
          <w:tcPr>
            <w:tcW w:w="2835" w:type="dxa"/>
            <w:vAlign w:val="center"/>
          </w:tcPr>
          <w:p>
            <w:pPr>
              <w:pStyle w:val="140"/>
            </w:pPr>
            <w:r>
              <w:rPr>
                <w:rFonts w:hint="eastAsia"/>
              </w:rPr>
              <w:t>污染物源强</w:t>
            </w:r>
          </w:p>
        </w:tc>
        <w:tc>
          <w:tcPr>
            <w:tcW w:w="993" w:type="dxa"/>
            <w:vAlign w:val="center"/>
          </w:tcPr>
          <w:p>
            <w:pPr>
              <w:pStyle w:val="140"/>
            </w:pPr>
            <w:r>
              <w:rPr>
                <w:rFonts w:hint="eastAsia"/>
              </w:rPr>
              <w:t>排放时间</w:t>
            </w:r>
          </w:p>
          <w:p>
            <w:pPr>
              <w:pStyle w:val="140"/>
            </w:pPr>
            <w:r>
              <w:rPr>
                <w:rFonts w:hint="eastAsia"/>
              </w:rPr>
              <w:t>（h/a）</w:t>
            </w:r>
          </w:p>
        </w:tc>
        <w:tc>
          <w:tcPr>
            <w:tcW w:w="1418" w:type="dxa"/>
            <w:vAlign w:val="center"/>
          </w:tcPr>
          <w:p>
            <w:pPr>
              <w:pStyle w:val="140"/>
            </w:pPr>
            <w:r>
              <w:rPr>
                <w:rFonts w:hint="eastAsia"/>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pPr>
            <w:r>
              <w:rPr>
                <w:rFonts w:hint="eastAsia"/>
              </w:rPr>
              <w:t>废气污染物</w:t>
            </w:r>
          </w:p>
        </w:tc>
        <w:tc>
          <w:tcPr>
            <w:tcW w:w="1185" w:type="dxa"/>
            <w:vAlign w:val="center"/>
          </w:tcPr>
          <w:p>
            <w:pPr>
              <w:pStyle w:val="147"/>
            </w:pPr>
            <w:r>
              <w:rPr>
                <w:rFonts w:hint="eastAsia"/>
              </w:rPr>
              <w:t>MOVE加成物精馏塔1#冷凝器</w:t>
            </w:r>
          </w:p>
        </w:tc>
        <w:tc>
          <w:tcPr>
            <w:tcW w:w="851" w:type="dxa"/>
            <w:vAlign w:val="center"/>
          </w:tcPr>
          <w:p>
            <w:pPr>
              <w:pStyle w:val="147"/>
            </w:pPr>
            <w:r>
              <w:rPr>
                <w:rFonts w:hint="eastAsia"/>
              </w:rPr>
              <w:t>不凝气</w:t>
            </w:r>
          </w:p>
        </w:tc>
        <w:tc>
          <w:tcPr>
            <w:tcW w:w="708" w:type="dxa"/>
            <w:vAlign w:val="center"/>
          </w:tcPr>
          <w:p>
            <w:pPr>
              <w:pStyle w:val="147"/>
            </w:pPr>
            <w:r>
              <w:rPr>
                <w:rFonts w:hint="eastAsia"/>
              </w:rPr>
              <w:t>G</w:t>
            </w:r>
            <w:r>
              <w:rPr>
                <w:rFonts w:hint="eastAsia"/>
                <w:vertAlign w:val="subscript"/>
              </w:rPr>
              <w:t>3-11</w:t>
            </w:r>
          </w:p>
        </w:tc>
        <w:tc>
          <w:tcPr>
            <w:tcW w:w="2835" w:type="dxa"/>
            <w:vAlign w:val="center"/>
          </w:tcPr>
          <w:p>
            <w:pPr>
              <w:pStyle w:val="147"/>
              <w:rPr>
                <w:szCs w:val="18"/>
              </w:rPr>
            </w:pPr>
            <w:r>
              <w:rPr>
                <w:rFonts w:hint="eastAsia"/>
                <w:szCs w:val="18"/>
              </w:rPr>
              <w:t>废气量：5m</w:t>
            </w:r>
            <w:r>
              <w:rPr>
                <w:rFonts w:hint="eastAsia"/>
                <w:szCs w:val="18"/>
                <w:vertAlign w:val="superscript"/>
              </w:rPr>
              <w:t>3</w:t>
            </w:r>
            <w:r>
              <w:rPr>
                <w:rFonts w:hint="eastAsia"/>
                <w:szCs w:val="18"/>
              </w:rPr>
              <w:t>/h</w:t>
            </w:r>
          </w:p>
          <w:p>
            <w:pPr>
              <w:pStyle w:val="147"/>
            </w:pPr>
            <w:r>
              <w:rPr>
                <w:rFonts w:hint="eastAsia"/>
              </w:rPr>
              <w:t>有机氟化物（F114、甲基醚加成物等）: 80mg/m</w:t>
            </w:r>
            <w:r>
              <w:rPr>
                <w:rFonts w:hint="eastAsia"/>
                <w:vertAlign w:val="superscript"/>
              </w:rPr>
              <w:t>3</w:t>
            </w:r>
            <w:r>
              <w:rPr>
                <w:rFonts w:hint="eastAsia"/>
              </w:rPr>
              <w:t>, 0.0004kg/h</w:t>
            </w:r>
          </w:p>
        </w:tc>
        <w:tc>
          <w:tcPr>
            <w:tcW w:w="993" w:type="dxa"/>
            <w:vAlign w:val="center"/>
          </w:tcPr>
          <w:p>
            <w:pPr>
              <w:pStyle w:val="147"/>
            </w:pPr>
            <w:r>
              <w:rPr>
                <w:rFonts w:hint="eastAsia"/>
              </w:rPr>
              <w:t>240</w:t>
            </w:r>
          </w:p>
        </w:tc>
        <w:tc>
          <w:tcPr>
            <w:tcW w:w="1418" w:type="dxa"/>
            <w:vMerge w:val="restart"/>
            <w:vAlign w:val="center"/>
          </w:tcPr>
          <w:p>
            <w:pPr>
              <w:pStyle w:val="140"/>
            </w:pPr>
            <w:r>
              <w:rPr>
                <w:rFonts w:hint="eastAsia" w:ascii="宋体" w:hAnsi="宋体"/>
              </w:rPr>
              <w:t>经</w:t>
            </w:r>
            <w:r>
              <w:t>二级水洗+碱洗+二级活性炭</w:t>
            </w:r>
            <w:r>
              <w:rPr>
                <w:rFonts w:hint="eastAsia"/>
              </w:rPr>
              <w:t>处理，后经1根2</w:t>
            </w:r>
            <w:r>
              <w:t>5</w:t>
            </w:r>
            <w:r>
              <w:rPr>
                <w:rFonts w:hint="eastAsia"/>
              </w:rPr>
              <w:t>m排气筒外排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7"/>
            </w:pPr>
            <w:r>
              <w:rPr>
                <w:rFonts w:hint="eastAsia"/>
              </w:rPr>
              <w:t>MOVE加成物精馏塔2#冷凝器</w:t>
            </w:r>
          </w:p>
        </w:tc>
        <w:tc>
          <w:tcPr>
            <w:tcW w:w="851" w:type="dxa"/>
            <w:vAlign w:val="center"/>
          </w:tcPr>
          <w:p>
            <w:pPr>
              <w:pStyle w:val="147"/>
            </w:pPr>
            <w:r>
              <w:rPr>
                <w:rFonts w:hint="eastAsia"/>
              </w:rPr>
              <w:t>不凝气</w:t>
            </w:r>
          </w:p>
        </w:tc>
        <w:tc>
          <w:tcPr>
            <w:tcW w:w="708" w:type="dxa"/>
            <w:vAlign w:val="center"/>
          </w:tcPr>
          <w:p>
            <w:pPr>
              <w:pStyle w:val="147"/>
            </w:pPr>
            <w:r>
              <w:rPr>
                <w:rFonts w:hint="eastAsia"/>
              </w:rPr>
              <w:t>G</w:t>
            </w:r>
            <w:r>
              <w:rPr>
                <w:rFonts w:hint="eastAsia"/>
                <w:vertAlign w:val="subscript"/>
              </w:rPr>
              <w:t>3-12</w:t>
            </w:r>
          </w:p>
        </w:tc>
        <w:tc>
          <w:tcPr>
            <w:tcW w:w="2835" w:type="dxa"/>
            <w:vAlign w:val="center"/>
          </w:tcPr>
          <w:p>
            <w:pPr>
              <w:pStyle w:val="147"/>
              <w:rPr>
                <w:szCs w:val="18"/>
              </w:rPr>
            </w:pPr>
            <w:r>
              <w:rPr>
                <w:rFonts w:hint="eastAsia"/>
                <w:szCs w:val="18"/>
              </w:rPr>
              <w:t>废气量：5m</w:t>
            </w:r>
            <w:r>
              <w:rPr>
                <w:rFonts w:hint="eastAsia"/>
                <w:szCs w:val="18"/>
                <w:vertAlign w:val="superscript"/>
              </w:rPr>
              <w:t>3</w:t>
            </w:r>
            <w:r>
              <w:rPr>
                <w:rFonts w:hint="eastAsia"/>
                <w:szCs w:val="18"/>
              </w:rPr>
              <w:t>/h</w:t>
            </w:r>
          </w:p>
          <w:p>
            <w:pPr>
              <w:pStyle w:val="147"/>
            </w:pPr>
            <w:r>
              <w:rPr>
                <w:rFonts w:hint="eastAsia"/>
              </w:rPr>
              <w:t>有机氟化物（甲基醚加成物等）:</w:t>
            </w:r>
          </w:p>
          <w:p>
            <w:pPr>
              <w:pStyle w:val="147"/>
            </w:pPr>
            <w:r>
              <w:rPr>
                <w:rFonts w:hint="eastAsia"/>
              </w:rPr>
              <w:t>80mg/m</w:t>
            </w:r>
            <w:r>
              <w:rPr>
                <w:rFonts w:hint="eastAsia"/>
                <w:vertAlign w:val="superscript"/>
              </w:rPr>
              <w:t>3</w:t>
            </w:r>
            <w:r>
              <w:rPr>
                <w:rFonts w:hint="eastAsia"/>
              </w:rPr>
              <w:t>, 0.0004 kg/h</w:t>
            </w:r>
          </w:p>
        </w:tc>
        <w:tc>
          <w:tcPr>
            <w:tcW w:w="993" w:type="dxa"/>
            <w:vAlign w:val="center"/>
          </w:tcPr>
          <w:p>
            <w:pPr>
              <w:pStyle w:val="147"/>
            </w:pPr>
            <w:r>
              <w:rPr>
                <w:rFonts w:hint="eastAsia"/>
              </w:rPr>
              <w:t>240</w:t>
            </w:r>
          </w:p>
        </w:tc>
        <w:tc>
          <w:tcPr>
            <w:tcW w:w="141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pPr>
          </w:p>
        </w:tc>
        <w:tc>
          <w:tcPr>
            <w:tcW w:w="1185" w:type="dxa"/>
            <w:vAlign w:val="center"/>
          </w:tcPr>
          <w:p>
            <w:pPr>
              <w:pStyle w:val="147"/>
            </w:pPr>
            <w:r>
              <w:rPr>
                <w:rFonts w:hint="eastAsia"/>
              </w:rPr>
              <w:t>MOVE加成物精馏塔3#冷凝器</w:t>
            </w:r>
          </w:p>
        </w:tc>
        <w:tc>
          <w:tcPr>
            <w:tcW w:w="851" w:type="dxa"/>
            <w:vAlign w:val="center"/>
          </w:tcPr>
          <w:p>
            <w:pPr>
              <w:pStyle w:val="147"/>
            </w:pPr>
            <w:r>
              <w:rPr>
                <w:rFonts w:hint="eastAsia"/>
              </w:rPr>
              <w:t>不凝气</w:t>
            </w:r>
          </w:p>
        </w:tc>
        <w:tc>
          <w:tcPr>
            <w:tcW w:w="708" w:type="dxa"/>
            <w:vAlign w:val="center"/>
          </w:tcPr>
          <w:p>
            <w:pPr>
              <w:pStyle w:val="147"/>
            </w:pPr>
            <w:r>
              <w:rPr>
                <w:rFonts w:hint="eastAsia"/>
              </w:rPr>
              <w:t>G</w:t>
            </w:r>
            <w:r>
              <w:rPr>
                <w:rFonts w:hint="eastAsia"/>
                <w:vertAlign w:val="subscript"/>
              </w:rPr>
              <w:t>3-13</w:t>
            </w:r>
          </w:p>
        </w:tc>
        <w:tc>
          <w:tcPr>
            <w:tcW w:w="2835" w:type="dxa"/>
            <w:vAlign w:val="center"/>
          </w:tcPr>
          <w:p>
            <w:pPr>
              <w:pStyle w:val="147"/>
              <w:rPr>
                <w:szCs w:val="18"/>
              </w:rPr>
            </w:pPr>
            <w:r>
              <w:rPr>
                <w:rFonts w:hint="eastAsia"/>
                <w:szCs w:val="18"/>
              </w:rPr>
              <w:t>废气量：5m</w:t>
            </w:r>
            <w:r>
              <w:rPr>
                <w:rFonts w:hint="eastAsia"/>
                <w:szCs w:val="18"/>
                <w:vertAlign w:val="superscript"/>
              </w:rPr>
              <w:t>3</w:t>
            </w:r>
            <w:r>
              <w:rPr>
                <w:rFonts w:hint="eastAsia"/>
                <w:szCs w:val="18"/>
              </w:rPr>
              <w:t>/h</w:t>
            </w:r>
          </w:p>
          <w:p>
            <w:pPr>
              <w:pStyle w:val="147"/>
            </w:pPr>
            <w:r>
              <w:rPr>
                <w:rFonts w:hint="eastAsia"/>
              </w:rPr>
              <w:t>有机氟化物（第四单体加成物等）:80mg/m</w:t>
            </w:r>
            <w:r>
              <w:rPr>
                <w:rFonts w:hint="eastAsia"/>
                <w:vertAlign w:val="superscript"/>
              </w:rPr>
              <w:t>3</w:t>
            </w:r>
            <w:r>
              <w:rPr>
                <w:rFonts w:hint="eastAsia"/>
              </w:rPr>
              <w:t>, 0.0004kg/h</w:t>
            </w:r>
          </w:p>
        </w:tc>
        <w:tc>
          <w:tcPr>
            <w:tcW w:w="993" w:type="dxa"/>
            <w:vAlign w:val="center"/>
          </w:tcPr>
          <w:p>
            <w:pPr>
              <w:pStyle w:val="147"/>
            </w:pPr>
            <w:r>
              <w:rPr>
                <w:rFonts w:hint="eastAsia"/>
              </w:rPr>
              <w:t>240</w:t>
            </w:r>
          </w:p>
        </w:tc>
        <w:tc>
          <w:tcPr>
            <w:tcW w:w="141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7"/>
            </w:pPr>
            <w:r>
              <w:rPr>
                <w:rFonts w:hint="eastAsia"/>
              </w:rPr>
              <w:t>MOVE加成物脱氯冷凝器</w:t>
            </w:r>
          </w:p>
        </w:tc>
        <w:tc>
          <w:tcPr>
            <w:tcW w:w="851" w:type="dxa"/>
            <w:vAlign w:val="center"/>
          </w:tcPr>
          <w:p>
            <w:pPr>
              <w:pStyle w:val="147"/>
            </w:pPr>
            <w:r>
              <w:rPr>
                <w:rFonts w:hint="eastAsia"/>
              </w:rPr>
              <w:t>不凝气</w:t>
            </w:r>
          </w:p>
        </w:tc>
        <w:tc>
          <w:tcPr>
            <w:tcW w:w="708" w:type="dxa"/>
            <w:vAlign w:val="center"/>
          </w:tcPr>
          <w:p>
            <w:pPr>
              <w:pStyle w:val="147"/>
            </w:pPr>
            <w:r>
              <w:rPr>
                <w:rFonts w:hint="eastAsia"/>
              </w:rPr>
              <w:t>G</w:t>
            </w:r>
            <w:r>
              <w:rPr>
                <w:rFonts w:hint="eastAsia"/>
                <w:vertAlign w:val="subscript"/>
              </w:rPr>
              <w:t>3-14</w:t>
            </w:r>
          </w:p>
        </w:tc>
        <w:tc>
          <w:tcPr>
            <w:tcW w:w="2835" w:type="dxa"/>
            <w:vAlign w:val="center"/>
          </w:tcPr>
          <w:p>
            <w:pPr>
              <w:pStyle w:val="147"/>
              <w:rPr>
                <w:szCs w:val="18"/>
              </w:rPr>
            </w:pPr>
            <w:r>
              <w:rPr>
                <w:rFonts w:hint="eastAsia"/>
                <w:szCs w:val="18"/>
              </w:rPr>
              <w:t>废气量：5m</w:t>
            </w:r>
            <w:r>
              <w:rPr>
                <w:rFonts w:hint="eastAsia"/>
                <w:szCs w:val="18"/>
                <w:vertAlign w:val="superscript"/>
              </w:rPr>
              <w:t>3</w:t>
            </w:r>
            <w:r>
              <w:rPr>
                <w:rFonts w:hint="eastAsia"/>
                <w:szCs w:val="18"/>
              </w:rPr>
              <w:t>/h</w:t>
            </w:r>
          </w:p>
          <w:p>
            <w:pPr>
              <w:pStyle w:val="147"/>
            </w:pPr>
            <w:r>
              <w:rPr>
                <w:rFonts w:hint="eastAsia"/>
              </w:rPr>
              <w:t>有机氟化物（第四单体加成物等）: 80mg/m</w:t>
            </w:r>
            <w:r>
              <w:rPr>
                <w:rFonts w:hint="eastAsia"/>
                <w:vertAlign w:val="superscript"/>
              </w:rPr>
              <w:t>3</w:t>
            </w:r>
            <w:r>
              <w:rPr>
                <w:rFonts w:hint="eastAsia"/>
              </w:rPr>
              <w:t>, 0.0004kg/h</w:t>
            </w:r>
          </w:p>
          <w:p>
            <w:pPr>
              <w:pStyle w:val="147"/>
              <w:rPr>
                <w:szCs w:val="18"/>
              </w:rPr>
            </w:pPr>
            <w:r>
              <w:rPr>
                <w:rFonts w:hint="eastAsia"/>
              </w:rPr>
              <w:t>DMF: 330mg/m</w:t>
            </w:r>
            <w:r>
              <w:rPr>
                <w:rFonts w:hint="eastAsia"/>
                <w:vertAlign w:val="superscript"/>
              </w:rPr>
              <w:t>3</w:t>
            </w:r>
            <w:r>
              <w:rPr>
                <w:rFonts w:hint="eastAsia"/>
              </w:rPr>
              <w:t>, 0.00165kg/h</w:t>
            </w:r>
          </w:p>
        </w:tc>
        <w:tc>
          <w:tcPr>
            <w:tcW w:w="993" w:type="dxa"/>
            <w:vAlign w:val="center"/>
          </w:tcPr>
          <w:p>
            <w:pPr>
              <w:pStyle w:val="147"/>
            </w:pPr>
            <w:r>
              <w:rPr>
                <w:rFonts w:hint="eastAsia"/>
              </w:rPr>
              <w:t>240</w:t>
            </w:r>
          </w:p>
        </w:tc>
        <w:tc>
          <w:tcPr>
            <w:tcW w:w="141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7"/>
            </w:pPr>
            <w:r>
              <w:rPr>
                <w:rFonts w:hint="eastAsia"/>
              </w:rPr>
              <w:t>MOVE加压精馏塔冷凝器</w:t>
            </w:r>
          </w:p>
        </w:tc>
        <w:tc>
          <w:tcPr>
            <w:tcW w:w="851" w:type="dxa"/>
            <w:vAlign w:val="center"/>
          </w:tcPr>
          <w:p>
            <w:pPr>
              <w:pStyle w:val="147"/>
            </w:pPr>
            <w:r>
              <w:rPr>
                <w:rFonts w:hint="eastAsia"/>
              </w:rPr>
              <w:t>不凝气</w:t>
            </w:r>
          </w:p>
        </w:tc>
        <w:tc>
          <w:tcPr>
            <w:tcW w:w="708" w:type="dxa"/>
            <w:vAlign w:val="center"/>
          </w:tcPr>
          <w:p>
            <w:pPr>
              <w:pStyle w:val="147"/>
            </w:pPr>
            <w:r>
              <w:rPr>
                <w:rFonts w:hint="eastAsia"/>
              </w:rPr>
              <w:t>G</w:t>
            </w:r>
            <w:r>
              <w:rPr>
                <w:rFonts w:hint="eastAsia"/>
                <w:vertAlign w:val="subscript"/>
              </w:rPr>
              <w:t>3-15</w:t>
            </w:r>
          </w:p>
        </w:tc>
        <w:tc>
          <w:tcPr>
            <w:tcW w:w="2835" w:type="dxa"/>
            <w:vAlign w:val="center"/>
          </w:tcPr>
          <w:p>
            <w:pPr>
              <w:pStyle w:val="147"/>
              <w:rPr>
                <w:szCs w:val="18"/>
              </w:rPr>
            </w:pPr>
            <w:r>
              <w:rPr>
                <w:rFonts w:hint="eastAsia"/>
                <w:szCs w:val="18"/>
              </w:rPr>
              <w:t>废气量：5m</w:t>
            </w:r>
            <w:r>
              <w:rPr>
                <w:rFonts w:hint="eastAsia"/>
                <w:szCs w:val="18"/>
                <w:vertAlign w:val="superscript"/>
              </w:rPr>
              <w:t>3</w:t>
            </w:r>
            <w:r>
              <w:rPr>
                <w:rFonts w:hint="eastAsia"/>
                <w:szCs w:val="18"/>
              </w:rPr>
              <w:t>/h</w:t>
            </w:r>
          </w:p>
          <w:p>
            <w:pPr>
              <w:pStyle w:val="147"/>
            </w:pPr>
            <w:r>
              <w:rPr>
                <w:rFonts w:hint="eastAsia"/>
              </w:rPr>
              <w:t>有机氟化物（第四单体加成物等）: 80mg/m</w:t>
            </w:r>
            <w:r>
              <w:rPr>
                <w:rFonts w:hint="eastAsia"/>
                <w:vertAlign w:val="superscript"/>
              </w:rPr>
              <w:t>3</w:t>
            </w:r>
            <w:r>
              <w:rPr>
                <w:rFonts w:hint="eastAsia"/>
              </w:rPr>
              <w:t>, 0.0004kg/h</w:t>
            </w:r>
          </w:p>
          <w:p>
            <w:pPr>
              <w:pStyle w:val="147"/>
            </w:pPr>
            <w:r>
              <w:rPr>
                <w:rFonts w:hint="eastAsia"/>
              </w:rPr>
              <w:t>DMF: 330mg/m</w:t>
            </w:r>
            <w:r>
              <w:rPr>
                <w:rFonts w:hint="eastAsia"/>
                <w:vertAlign w:val="superscript"/>
              </w:rPr>
              <w:t>3</w:t>
            </w:r>
            <w:r>
              <w:rPr>
                <w:rFonts w:hint="eastAsia"/>
              </w:rPr>
              <w:t>, 0.00165kg/h</w:t>
            </w:r>
          </w:p>
        </w:tc>
        <w:tc>
          <w:tcPr>
            <w:tcW w:w="993" w:type="dxa"/>
            <w:vAlign w:val="center"/>
          </w:tcPr>
          <w:p>
            <w:pPr>
              <w:pStyle w:val="147"/>
            </w:pPr>
            <w:r>
              <w:rPr>
                <w:rFonts w:hint="eastAsia"/>
              </w:rPr>
              <w:t>240</w:t>
            </w:r>
          </w:p>
        </w:tc>
        <w:tc>
          <w:tcPr>
            <w:tcW w:w="141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7"/>
            </w:pPr>
            <w:r>
              <w:rPr>
                <w:rFonts w:hint="eastAsia"/>
              </w:rPr>
              <w:t>MOVE常压精馏塔冷凝器</w:t>
            </w:r>
          </w:p>
        </w:tc>
        <w:tc>
          <w:tcPr>
            <w:tcW w:w="851" w:type="dxa"/>
            <w:vAlign w:val="center"/>
          </w:tcPr>
          <w:p>
            <w:pPr>
              <w:pStyle w:val="147"/>
            </w:pPr>
            <w:r>
              <w:rPr>
                <w:rFonts w:hint="eastAsia"/>
              </w:rPr>
              <w:t>不凝气</w:t>
            </w:r>
          </w:p>
        </w:tc>
        <w:tc>
          <w:tcPr>
            <w:tcW w:w="708" w:type="dxa"/>
            <w:vAlign w:val="center"/>
          </w:tcPr>
          <w:p>
            <w:pPr>
              <w:pStyle w:val="147"/>
            </w:pPr>
            <w:r>
              <w:rPr>
                <w:rFonts w:hint="eastAsia"/>
              </w:rPr>
              <w:t>G</w:t>
            </w:r>
            <w:r>
              <w:rPr>
                <w:rFonts w:hint="eastAsia"/>
                <w:vertAlign w:val="subscript"/>
              </w:rPr>
              <w:t>3-16</w:t>
            </w:r>
          </w:p>
        </w:tc>
        <w:tc>
          <w:tcPr>
            <w:tcW w:w="2835" w:type="dxa"/>
            <w:vAlign w:val="center"/>
          </w:tcPr>
          <w:p>
            <w:pPr>
              <w:pStyle w:val="147"/>
              <w:rPr>
                <w:szCs w:val="18"/>
              </w:rPr>
            </w:pPr>
            <w:r>
              <w:rPr>
                <w:rFonts w:hint="eastAsia"/>
                <w:szCs w:val="18"/>
              </w:rPr>
              <w:t>废气量：5m</w:t>
            </w:r>
            <w:r>
              <w:rPr>
                <w:rFonts w:hint="eastAsia"/>
                <w:szCs w:val="18"/>
                <w:vertAlign w:val="superscript"/>
              </w:rPr>
              <w:t>3</w:t>
            </w:r>
            <w:r>
              <w:rPr>
                <w:rFonts w:hint="eastAsia"/>
                <w:szCs w:val="18"/>
              </w:rPr>
              <w:t>/h</w:t>
            </w:r>
          </w:p>
          <w:p>
            <w:pPr>
              <w:pStyle w:val="147"/>
            </w:pPr>
            <w:r>
              <w:rPr>
                <w:rFonts w:hint="eastAsia"/>
              </w:rPr>
              <w:t>有机氟化物（第四单体加成物等）: 80mg/m</w:t>
            </w:r>
            <w:r>
              <w:rPr>
                <w:rFonts w:hint="eastAsia"/>
                <w:vertAlign w:val="superscript"/>
              </w:rPr>
              <w:t>3</w:t>
            </w:r>
            <w:r>
              <w:rPr>
                <w:rFonts w:hint="eastAsia"/>
              </w:rPr>
              <w:t>, 0.0004kg/h</w:t>
            </w:r>
          </w:p>
          <w:p>
            <w:pPr>
              <w:pStyle w:val="147"/>
            </w:pPr>
            <w:r>
              <w:rPr>
                <w:rFonts w:hint="eastAsia"/>
              </w:rPr>
              <w:t>DMF: 330mg/m</w:t>
            </w:r>
            <w:r>
              <w:rPr>
                <w:rFonts w:hint="eastAsia"/>
                <w:vertAlign w:val="superscript"/>
              </w:rPr>
              <w:t>3</w:t>
            </w:r>
            <w:r>
              <w:rPr>
                <w:rFonts w:hint="eastAsia"/>
              </w:rPr>
              <w:t>, 0.00165kg/h</w:t>
            </w:r>
          </w:p>
        </w:tc>
        <w:tc>
          <w:tcPr>
            <w:tcW w:w="993" w:type="dxa"/>
            <w:vAlign w:val="center"/>
          </w:tcPr>
          <w:p>
            <w:pPr>
              <w:pStyle w:val="147"/>
            </w:pPr>
            <w:r>
              <w:rPr>
                <w:rFonts w:hint="eastAsia"/>
              </w:rPr>
              <w:t>240</w:t>
            </w:r>
          </w:p>
        </w:tc>
        <w:tc>
          <w:tcPr>
            <w:tcW w:w="141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restart"/>
            <w:vAlign w:val="center"/>
          </w:tcPr>
          <w:p>
            <w:pPr>
              <w:pStyle w:val="140"/>
            </w:pPr>
            <w:r>
              <w:rPr>
                <w:rFonts w:hint="eastAsia"/>
              </w:rPr>
              <w:t>固体废物</w:t>
            </w:r>
          </w:p>
        </w:tc>
        <w:tc>
          <w:tcPr>
            <w:tcW w:w="1185" w:type="dxa"/>
            <w:vAlign w:val="center"/>
          </w:tcPr>
          <w:p>
            <w:pPr>
              <w:pStyle w:val="147"/>
            </w:pPr>
            <w:r>
              <w:rPr>
                <w:rFonts w:hint="eastAsia"/>
              </w:rPr>
              <w:t>MOVE加成物精馏塔2#</w:t>
            </w:r>
          </w:p>
        </w:tc>
        <w:tc>
          <w:tcPr>
            <w:tcW w:w="851" w:type="dxa"/>
            <w:vAlign w:val="center"/>
          </w:tcPr>
          <w:p>
            <w:pPr>
              <w:pStyle w:val="147"/>
            </w:pPr>
            <w:r>
              <w:rPr>
                <w:rFonts w:hint="eastAsia"/>
              </w:rPr>
              <w:t>等离子残液</w:t>
            </w:r>
          </w:p>
        </w:tc>
        <w:tc>
          <w:tcPr>
            <w:tcW w:w="708" w:type="dxa"/>
            <w:vAlign w:val="center"/>
          </w:tcPr>
          <w:p>
            <w:pPr>
              <w:pStyle w:val="147"/>
            </w:pPr>
            <w:r>
              <w:rPr>
                <w:rFonts w:hint="eastAsia"/>
              </w:rPr>
              <w:t>S</w:t>
            </w:r>
            <w:r>
              <w:rPr>
                <w:rFonts w:hint="eastAsia"/>
                <w:vertAlign w:val="subscript"/>
              </w:rPr>
              <w:t>3-4</w:t>
            </w:r>
          </w:p>
        </w:tc>
        <w:tc>
          <w:tcPr>
            <w:tcW w:w="2835" w:type="dxa"/>
            <w:vAlign w:val="center"/>
          </w:tcPr>
          <w:p>
            <w:pPr>
              <w:pStyle w:val="147"/>
              <w:rPr>
                <w:szCs w:val="18"/>
              </w:rPr>
            </w:pPr>
            <w:r>
              <w:rPr>
                <w:rFonts w:hint="eastAsia"/>
                <w:szCs w:val="18"/>
              </w:rPr>
              <w:t>废液量：1.88t/a</w:t>
            </w:r>
          </w:p>
          <w:p>
            <w:pPr>
              <w:pStyle w:val="147"/>
              <w:rPr>
                <w:szCs w:val="18"/>
              </w:rPr>
            </w:pPr>
            <w:r>
              <w:rPr>
                <w:rFonts w:hint="eastAsia"/>
              </w:rPr>
              <w:t>有机氟化物（甲基醚加成物等）</w:t>
            </w:r>
          </w:p>
        </w:tc>
        <w:tc>
          <w:tcPr>
            <w:tcW w:w="993" w:type="dxa"/>
            <w:vAlign w:val="center"/>
          </w:tcPr>
          <w:p>
            <w:pPr>
              <w:pStyle w:val="147"/>
              <w:rPr>
                <w:spacing w:val="-4"/>
              </w:rPr>
            </w:pPr>
            <w:r>
              <w:rPr>
                <w:rFonts w:hint="eastAsia"/>
              </w:rPr>
              <w:t>240</w:t>
            </w:r>
          </w:p>
        </w:tc>
        <w:tc>
          <w:tcPr>
            <w:tcW w:w="1418" w:type="dxa"/>
            <w:vMerge w:val="restart"/>
            <w:vAlign w:val="center"/>
          </w:tcPr>
          <w:p>
            <w:pPr>
              <w:pStyle w:val="140"/>
            </w:pPr>
            <w:r>
              <w:rPr>
                <w:rFonts w:hint="eastAsia"/>
              </w:rPr>
              <w:t>送厂区等离子焚烧炉焚烧处置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7"/>
            </w:pPr>
            <w:r>
              <w:rPr>
                <w:rFonts w:hint="eastAsia"/>
              </w:rPr>
              <w:t>MOVE常压精馏塔</w:t>
            </w:r>
          </w:p>
        </w:tc>
        <w:tc>
          <w:tcPr>
            <w:tcW w:w="851" w:type="dxa"/>
            <w:vAlign w:val="center"/>
          </w:tcPr>
          <w:p>
            <w:pPr>
              <w:pStyle w:val="147"/>
            </w:pPr>
            <w:r>
              <w:rPr>
                <w:rFonts w:hint="eastAsia"/>
              </w:rPr>
              <w:t>残液</w:t>
            </w:r>
          </w:p>
        </w:tc>
        <w:tc>
          <w:tcPr>
            <w:tcW w:w="708" w:type="dxa"/>
            <w:vAlign w:val="center"/>
          </w:tcPr>
          <w:p>
            <w:pPr>
              <w:pStyle w:val="147"/>
            </w:pPr>
            <w:r>
              <w:rPr>
                <w:rFonts w:hint="eastAsia"/>
              </w:rPr>
              <w:t>S</w:t>
            </w:r>
            <w:r>
              <w:rPr>
                <w:rFonts w:hint="eastAsia"/>
                <w:vertAlign w:val="subscript"/>
              </w:rPr>
              <w:t>3-5</w:t>
            </w:r>
          </w:p>
        </w:tc>
        <w:tc>
          <w:tcPr>
            <w:tcW w:w="2835" w:type="dxa"/>
            <w:vAlign w:val="center"/>
          </w:tcPr>
          <w:p>
            <w:pPr>
              <w:pStyle w:val="147"/>
              <w:rPr>
                <w:szCs w:val="18"/>
              </w:rPr>
            </w:pPr>
            <w:r>
              <w:rPr>
                <w:rFonts w:hint="eastAsia"/>
                <w:szCs w:val="18"/>
              </w:rPr>
              <w:t>废液量：0.04t/a</w:t>
            </w:r>
          </w:p>
          <w:p>
            <w:pPr>
              <w:pStyle w:val="147"/>
            </w:pPr>
            <w:r>
              <w:rPr>
                <w:rFonts w:hint="eastAsia"/>
              </w:rPr>
              <w:t>有机氟化物（第四单体加成物等）</w:t>
            </w:r>
          </w:p>
        </w:tc>
        <w:tc>
          <w:tcPr>
            <w:tcW w:w="993" w:type="dxa"/>
            <w:vAlign w:val="center"/>
          </w:tcPr>
          <w:p>
            <w:pPr>
              <w:pStyle w:val="147"/>
              <w:rPr>
                <w:spacing w:val="-4"/>
              </w:rPr>
            </w:pPr>
            <w:r>
              <w:rPr>
                <w:rFonts w:hint="eastAsia"/>
                <w:spacing w:val="-4"/>
              </w:rPr>
              <w:t>/</w:t>
            </w:r>
          </w:p>
        </w:tc>
        <w:tc>
          <w:tcPr>
            <w:tcW w:w="1418" w:type="dxa"/>
            <w:vMerge w:val="continue"/>
            <w:vAlign w:val="center"/>
          </w:tcPr>
          <w:p>
            <w:pPr>
              <w:pStyle w:val="140"/>
            </w:pPr>
          </w:p>
        </w:tc>
      </w:tr>
    </w:tbl>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2.4.3.3</w:t>
      </w:r>
      <w:r>
        <w:rPr>
          <w:rFonts w:hint="eastAsia" w:ascii="Times New Roman" w:hAnsi="Times New Roman" w:eastAsia="宋体" w:cs="Times New Roman"/>
          <w:kern w:val="2"/>
          <w:sz w:val="24"/>
          <w:szCs w:val="24"/>
          <w:lang w:val="en-US" w:eastAsia="zh-CN" w:bidi="ar-SA"/>
        </w:rPr>
        <w:t xml:space="preserve">  副产物回收工段</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合成MOVE单体工艺中，将产生较大量的甲基醚加成物、脱氯残液、多余氟气。因此项目针对以上三种污染物进行综合利用。</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1）全氟醚甲基乙烯基醚（PMVE）加成物处理系统</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（1）工艺原理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全氟醚甲基乙烯基醚单体（PMVE，CF3OCF=CF2）是高性能特种氟橡胶的重要改性单体，可作为特种氟橡胶（如耐低温、高温氟橡胶）的原料。项目在酰化工段尾气反应器中和第四单体加成物精馏产生的CF3OCFClCF2Cl在脱氯后可制得PMVE。其脱氯反应方程式以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object>
          <v:shape id="_x0000_i1034" o:spt="75" type="#_x0000_t75" style="height:19pt;width:246pt;" o:ole="t" filled="f" o:preferrelative="t" stroked="f" coordsize="21600,21600">
            <v:path/>
            <v:fill on="f" focussize="0,0"/>
            <v:stroke on="f" joinstyle="miter"/>
            <v:imagedata r:id="rId38" o:title=""/>
            <o:lock v:ext="edit" aspectratio="t"/>
            <w10:wrap type="none"/>
            <w10:anchorlock/>
          </v:shape>
          <o:OLEObject Type="Embed" ProgID="Equation.3" ShapeID="_x0000_i1034" DrawAspect="Content" ObjectID="_1468075734" r:id="rId37">
            <o:LockedField>false</o:LockedField>
          </o:OLEObject>
        </w:objec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（2）工艺流程</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在酰化氟化加成装置尾气吸收反应中产生的和第四单体加成物精馏产生的CF3OCFClCF2Cl均经冷凝后，先暂存于甲基醚加成物收集槽，后送甲基醚加成物1#精馏塔中进行精馏提纯。1#塔采用加压精馏，压力0.1MPa，顶部主要含F114和少量CF3OCFClCF2Cl，冷凝收入加成物残液槽，残液（S3-6）收集后送厂区等离子焚烧炉焚烧处理；1#塔釜物料进2#精馏塔，2#塔采用常压精馏，塔顶主要为甲基醚加成物，冷凝收入精甲基醚加成物贮槽，再送脱氯釜进行脱氯反应；2#塔釜残液（S3-7）收集后，送厂区等离子焚烧炉焚烧处理。精馏不凝气（G3-17、G3-18）经二级水洗+碱洗+二级活性炭处理。</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加成物（CF3OCFClCF2Cl）在脱氯釜中以DMF为溶剂，与锌粉在常温常压下进行脱氯反应，气相物质为目标产物PMVE和加成物的混合物质。在反应釜顶部采用回流冷凝器将气相中的加成物（CF3OCFClCF2Cl）冷凝回到脱氯釜，而未冷凝的气相物料（主要含PMVE）通过冷凝器（-40℃）冷凝后，进入粗PMVE单体储槽暂存。不凝气（G3-19）经二级水洗+碱洗+二级活性炭处理。反应釜中反应完后的液相主要为DMF，其中混有少量锌粉、氯化锌及加成物，收集后送至DMF回收工序。</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粗单体采用两套精馏塔进行加压精馏提纯。第一个精馏塔采用0.2MPa左右压力，分离出以四氟乙烯为主的轻组分等，经冷凝后送四氟乙烯精馏塔回收；不凝气（G3-20）经二级水洗+碱洗+二级活性炭处理；塔釜物进第二个精馏塔，精馏压力控制在0.1MPa左右，塔釜开始馏出的CF3OCFClCF2Cl送回PMVE加成物1#精馏塔，后馏出全氟甲基乙烯基醚产品（PMVE，CF3OCF=CF2），收入单体贮槽。不凝气（G3-21）二级水洗+碱洗+二级活性炭，塔釜微量高沸物也回送加成物1#精馏系统。</w:t>
      </w:r>
    </w:p>
    <w:p>
      <w:pPr>
        <w:spacing w:line="240" w:lineRule="auto"/>
        <w:ind w:firstLine="0" w:firstLineChars="0"/>
        <w:jc w:val="center"/>
      </w:pPr>
      <w:r>
        <w:rPr>
          <w:rFonts w:ascii="黑体" w:eastAsia="黑体"/>
        </w:rPr>
        <w:object>
          <v:shape id="_x0000_i1035" o:spt="75" type="#_x0000_t75" style="height:641.5pt;width:424pt;" o:ole="t" filled="f" o:preferrelative="t" stroked="f" coordsize="21600,21600">
            <v:path/>
            <v:fill on="f" focussize="0,0"/>
            <v:stroke on="f" joinstyle="miter"/>
            <v:imagedata r:id="rId40" o:title=""/>
            <o:lock v:ext="edit" aspectratio="t"/>
            <w10:wrap type="none"/>
            <w10:anchorlock/>
          </v:shape>
          <o:OLEObject Type="Embed" ProgID="Visio.Drawing.11" ShapeID="_x0000_i1035" DrawAspect="Content" ObjectID="_1468075735" r:id="rId39">
            <o:LockedField>false</o:LockedField>
          </o:OLEObject>
        </w:object>
      </w:r>
      <w:r>
        <w:rPr>
          <w:rFonts w:hint="eastAsia" w:ascii="黑体" w:hAnsi="黑体" w:eastAsia="黑体"/>
          <w:sz w:val="24"/>
          <w:szCs w:val="24"/>
        </w:rPr>
        <w:t>图</w:t>
      </w:r>
      <w:r>
        <w:rPr>
          <w:rFonts w:hint="eastAsia" w:cs="Times New Roman"/>
          <w:kern w:val="2"/>
          <w:sz w:val="24"/>
          <w:szCs w:val="24"/>
          <w:lang w:val="en-US" w:eastAsia="zh-CN" w:bidi="ar-SA"/>
        </w:rPr>
        <w:t>2.4.3.3-1</w:t>
      </w:r>
      <w:r>
        <w:rPr>
          <w:rFonts w:hint="eastAsia" w:ascii="黑体" w:hAnsi="黑体" w:eastAsia="黑体"/>
          <w:sz w:val="24"/>
          <w:szCs w:val="24"/>
        </w:rPr>
        <w:t xml:space="preserve">       PMVE回收工段物料平衡图</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（3）污染物产生情况及治理措施</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项目酰化及氟化加成工段污染物产生及治理情况如下表所示。</w:t>
      </w:r>
    </w:p>
    <w:p>
      <w:pPr>
        <w:pStyle w:val="146"/>
        <w:spacing w:before="31"/>
        <w:ind w:firstLine="482"/>
      </w:pPr>
      <w:r>
        <w:rPr>
          <w:rFonts w:hint="eastAsia"/>
        </w:rPr>
        <w:t>表</w:t>
      </w:r>
      <w:r>
        <w:rPr>
          <w:rFonts w:hint="eastAsia" w:cs="Times New Roman"/>
          <w:kern w:val="2"/>
          <w:sz w:val="24"/>
          <w:szCs w:val="24"/>
          <w:lang w:val="en-US" w:eastAsia="zh-CN" w:bidi="ar-SA"/>
        </w:rPr>
        <w:t>2.4.3.3-1</w:t>
      </w:r>
      <w:r>
        <w:rPr>
          <w:rFonts w:hint="eastAsia"/>
        </w:rPr>
        <w:t xml:space="preserve">      PMVE回收工段污染物产生及治理情况表</w:t>
      </w:r>
    </w:p>
    <w:tbl>
      <w:tblPr>
        <w:tblStyle w:val="43"/>
        <w:tblW w:w="898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5"/>
        <w:gridCol w:w="1185"/>
        <w:gridCol w:w="709"/>
        <w:gridCol w:w="2784"/>
        <w:gridCol w:w="992"/>
        <w:gridCol w:w="13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pPr>
            <w:r>
              <w:rPr>
                <w:rFonts w:hint="eastAsia"/>
              </w:rPr>
              <w:t>污染物类型</w:t>
            </w:r>
          </w:p>
        </w:tc>
        <w:tc>
          <w:tcPr>
            <w:tcW w:w="1185" w:type="dxa"/>
            <w:vAlign w:val="center"/>
          </w:tcPr>
          <w:p>
            <w:pPr>
              <w:pStyle w:val="140"/>
            </w:pPr>
            <w:r>
              <w:rPr>
                <w:rFonts w:hint="eastAsia"/>
              </w:rPr>
              <w:t>装置</w:t>
            </w:r>
          </w:p>
        </w:tc>
        <w:tc>
          <w:tcPr>
            <w:tcW w:w="1185" w:type="dxa"/>
            <w:vAlign w:val="center"/>
          </w:tcPr>
          <w:p>
            <w:pPr>
              <w:pStyle w:val="140"/>
            </w:pPr>
            <w:r>
              <w:rPr>
                <w:rFonts w:hint="eastAsia"/>
              </w:rPr>
              <w:t>污染物名称</w:t>
            </w:r>
          </w:p>
        </w:tc>
        <w:tc>
          <w:tcPr>
            <w:tcW w:w="709" w:type="dxa"/>
            <w:vAlign w:val="center"/>
          </w:tcPr>
          <w:p>
            <w:pPr>
              <w:pStyle w:val="140"/>
            </w:pPr>
            <w:r>
              <w:rPr>
                <w:rFonts w:hint="eastAsia"/>
              </w:rPr>
              <w:t>代号</w:t>
            </w:r>
          </w:p>
        </w:tc>
        <w:tc>
          <w:tcPr>
            <w:tcW w:w="2784" w:type="dxa"/>
            <w:vAlign w:val="center"/>
          </w:tcPr>
          <w:p>
            <w:pPr>
              <w:pStyle w:val="140"/>
            </w:pPr>
            <w:r>
              <w:rPr>
                <w:rFonts w:hint="eastAsia"/>
              </w:rPr>
              <w:t>污染物源强</w:t>
            </w:r>
          </w:p>
        </w:tc>
        <w:tc>
          <w:tcPr>
            <w:tcW w:w="992" w:type="dxa"/>
            <w:vAlign w:val="center"/>
          </w:tcPr>
          <w:p>
            <w:pPr>
              <w:pStyle w:val="140"/>
            </w:pPr>
            <w:r>
              <w:rPr>
                <w:rFonts w:hint="eastAsia"/>
              </w:rPr>
              <w:t>排放时间</w:t>
            </w:r>
          </w:p>
          <w:p>
            <w:pPr>
              <w:pStyle w:val="140"/>
            </w:pPr>
            <w:r>
              <w:rPr>
                <w:rFonts w:hint="eastAsia"/>
              </w:rPr>
              <w:t>（h/a）</w:t>
            </w:r>
          </w:p>
        </w:tc>
        <w:tc>
          <w:tcPr>
            <w:tcW w:w="1368" w:type="dxa"/>
            <w:vAlign w:val="center"/>
          </w:tcPr>
          <w:p>
            <w:pPr>
              <w:pStyle w:val="140"/>
            </w:pPr>
            <w:r>
              <w:rPr>
                <w:rFonts w:hint="eastAsia"/>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pPr>
            <w:r>
              <w:rPr>
                <w:rFonts w:hint="eastAsia"/>
              </w:rPr>
              <w:t>废气污染物</w:t>
            </w:r>
          </w:p>
        </w:tc>
        <w:tc>
          <w:tcPr>
            <w:tcW w:w="1185" w:type="dxa"/>
            <w:vAlign w:val="center"/>
          </w:tcPr>
          <w:p>
            <w:pPr>
              <w:pStyle w:val="140"/>
            </w:pPr>
            <w:r>
              <w:rPr>
                <w:rFonts w:hint="eastAsia"/>
              </w:rPr>
              <w:t>PMVE加成物精馏塔1#</w:t>
            </w:r>
          </w:p>
          <w:p>
            <w:pPr>
              <w:pStyle w:val="140"/>
            </w:pPr>
            <w:r>
              <w:rPr>
                <w:rFonts w:hint="eastAsia"/>
              </w:rPr>
              <w:t>冷凝器</w:t>
            </w:r>
          </w:p>
        </w:tc>
        <w:tc>
          <w:tcPr>
            <w:tcW w:w="1185" w:type="dxa"/>
            <w:vAlign w:val="center"/>
          </w:tcPr>
          <w:p>
            <w:pPr>
              <w:pStyle w:val="140"/>
            </w:pPr>
            <w:r>
              <w:rPr>
                <w:rFonts w:hint="eastAsia"/>
              </w:rPr>
              <w:t>不凝气</w:t>
            </w:r>
          </w:p>
        </w:tc>
        <w:tc>
          <w:tcPr>
            <w:tcW w:w="709" w:type="dxa"/>
            <w:vAlign w:val="center"/>
          </w:tcPr>
          <w:p>
            <w:pPr>
              <w:pStyle w:val="140"/>
            </w:pPr>
            <w:r>
              <w:rPr>
                <w:rFonts w:hint="eastAsia"/>
              </w:rPr>
              <w:t>G</w:t>
            </w:r>
            <w:r>
              <w:rPr>
                <w:rFonts w:hint="eastAsia"/>
                <w:vertAlign w:val="subscript"/>
              </w:rPr>
              <w:t>3-17</w:t>
            </w:r>
          </w:p>
        </w:tc>
        <w:tc>
          <w:tcPr>
            <w:tcW w:w="2784" w:type="dxa"/>
            <w:vAlign w:val="center"/>
          </w:tcPr>
          <w:p>
            <w:pPr>
              <w:pStyle w:val="140"/>
              <w:rPr>
                <w:szCs w:val="18"/>
              </w:rPr>
            </w:pPr>
            <w:r>
              <w:rPr>
                <w:rFonts w:hint="eastAsia"/>
                <w:szCs w:val="18"/>
              </w:rPr>
              <w:t>废气量：5m</w:t>
            </w:r>
            <w:r>
              <w:rPr>
                <w:rFonts w:hint="eastAsia"/>
                <w:szCs w:val="18"/>
                <w:vertAlign w:val="superscript"/>
              </w:rPr>
              <w:t>3</w:t>
            </w:r>
            <w:r>
              <w:rPr>
                <w:rFonts w:hint="eastAsia"/>
                <w:szCs w:val="18"/>
              </w:rPr>
              <w:t>/h</w:t>
            </w:r>
          </w:p>
          <w:p>
            <w:pPr>
              <w:pStyle w:val="140"/>
            </w:pPr>
            <w:r>
              <w:rPr>
                <w:rFonts w:hint="eastAsia"/>
              </w:rPr>
              <w:t>有机氟化物（F114、113）:80mg/m</w:t>
            </w:r>
            <w:r>
              <w:rPr>
                <w:rFonts w:hint="eastAsia"/>
                <w:vertAlign w:val="superscript"/>
              </w:rPr>
              <w:t>3</w:t>
            </w:r>
            <w:r>
              <w:rPr>
                <w:rFonts w:hint="eastAsia"/>
              </w:rPr>
              <w:t>,</w:t>
            </w:r>
          </w:p>
          <w:p>
            <w:pPr>
              <w:pStyle w:val="140"/>
              <w:rPr>
                <w:szCs w:val="18"/>
              </w:rPr>
            </w:pPr>
            <w:r>
              <w:rPr>
                <w:rFonts w:hint="eastAsia"/>
              </w:rPr>
              <w:t>0.0004kg/h</w:t>
            </w:r>
          </w:p>
        </w:tc>
        <w:tc>
          <w:tcPr>
            <w:tcW w:w="992" w:type="dxa"/>
            <w:vAlign w:val="center"/>
          </w:tcPr>
          <w:p>
            <w:pPr>
              <w:pStyle w:val="140"/>
            </w:pPr>
            <w:r>
              <w:rPr>
                <w:rFonts w:hint="eastAsia"/>
              </w:rPr>
              <w:t>720</w:t>
            </w:r>
          </w:p>
        </w:tc>
        <w:tc>
          <w:tcPr>
            <w:tcW w:w="1368" w:type="dxa"/>
            <w:vMerge w:val="restart"/>
            <w:vAlign w:val="center"/>
          </w:tcPr>
          <w:p>
            <w:pPr>
              <w:pStyle w:val="140"/>
            </w:pPr>
            <w:r>
              <w:rPr>
                <w:rFonts w:hint="eastAsia"/>
              </w:rPr>
              <w:t>经</w:t>
            </w:r>
            <w:r>
              <w:t>二级水洗+碱洗+二级活性炭</w:t>
            </w:r>
            <w:r>
              <w:rPr>
                <w:rFonts w:hint="eastAsia"/>
              </w:rPr>
              <w:t>处理，后经1根2</w:t>
            </w:r>
            <w:r>
              <w:t>5</w:t>
            </w:r>
            <w:r>
              <w:rPr>
                <w:rFonts w:hint="eastAsia"/>
              </w:rPr>
              <w:t>m排气筒外排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PMVE加成物精馏塔2#</w:t>
            </w:r>
          </w:p>
          <w:p>
            <w:pPr>
              <w:pStyle w:val="140"/>
            </w:pPr>
            <w:r>
              <w:rPr>
                <w:rFonts w:hint="eastAsia"/>
              </w:rPr>
              <w:t>冷凝器</w:t>
            </w:r>
          </w:p>
        </w:tc>
        <w:tc>
          <w:tcPr>
            <w:tcW w:w="1185" w:type="dxa"/>
            <w:vAlign w:val="center"/>
          </w:tcPr>
          <w:p>
            <w:pPr>
              <w:pStyle w:val="140"/>
            </w:pPr>
            <w:r>
              <w:rPr>
                <w:rFonts w:hint="eastAsia"/>
              </w:rPr>
              <w:t>不凝气</w:t>
            </w:r>
          </w:p>
        </w:tc>
        <w:tc>
          <w:tcPr>
            <w:tcW w:w="709" w:type="dxa"/>
            <w:vAlign w:val="center"/>
          </w:tcPr>
          <w:p>
            <w:pPr>
              <w:pStyle w:val="140"/>
            </w:pPr>
            <w:r>
              <w:rPr>
                <w:rFonts w:hint="eastAsia"/>
              </w:rPr>
              <w:t>G</w:t>
            </w:r>
            <w:r>
              <w:rPr>
                <w:rFonts w:hint="eastAsia"/>
                <w:vertAlign w:val="subscript"/>
              </w:rPr>
              <w:t>3-18</w:t>
            </w:r>
          </w:p>
        </w:tc>
        <w:tc>
          <w:tcPr>
            <w:tcW w:w="2784" w:type="dxa"/>
            <w:vAlign w:val="center"/>
          </w:tcPr>
          <w:p>
            <w:pPr>
              <w:pStyle w:val="140"/>
              <w:rPr>
                <w:szCs w:val="18"/>
              </w:rPr>
            </w:pPr>
            <w:r>
              <w:rPr>
                <w:rFonts w:hint="eastAsia"/>
                <w:szCs w:val="18"/>
              </w:rPr>
              <w:t>废气量：5m</w:t>
            </w:r>
            <w:r>
              <w:rPr>
                <w:rFonts w:hint="eastAsia"/>
                <w:szCs w:val="18"/>
                <w:vertAlign w:val="superscript"/>
              </w:rPr>
              <w:t>3</w:t>
            </w:r>
            <w:r>
              <w:rPr>
                <w:rFonts w:hint="eastAsia"/>
                <w:szCs w:val="18"/>
              </w:rPr>
              <w:t>/h</w:t>
            </w:r>
          </w:p>
          <w:p>
            <w:pPr>
              <w:pStyle w:val="140"/>
            </w:pPr>
            <w:r>
              <w:rPr>
                <w:rFonts w:hint="eastAsia"/>
              </w:rPr>
              <w:t>有机氟化物（甲基醚加成物等）:</w:t>
            </w:r>
          </w:p>
          <w:p>
            <w:pPr>
              <w:pStyle w:val="140"/>
            </w:pPr>
            <w:r>
              <w:rPr>
                <w:rFonts w:hint="eastAsia"/>
              </w:rPr>
              <w:t>80mg/m</w:t>
            </w:r>
            <w:r>
              <w:rPr>
                <w:rFonts w:hint="eastAsia"/>
                <w:vertAlign w:val="superscript"/>
              </w:rPr>
              <w:t>3</w:t>
            </w:r>
            <w:r>
              <w:rPr>
                <w:rFonts w:hint="eastAsia"/>
              </w:rPr>
              <w:t>,0.0004kg/h</w:t>
            </w:r>
          </w:p>
        </w:tc>
        <w:tc>
          <w:tcPr>
            <w:tcW w:w="992" w:type="dxa"/>
            <w:vAlign w:val="center"/>
          </w:tcPr>
          <w:p>
            <w:pPr>
              <w:pStyle w:val="140"/>
            </w:pPr>
            <w:r>
              <w:rPr>
                <w:rFonts w:hint="eastAsia"/>
              </w:rPr>
              <w:t>720</w:t>
            </w:r>
          </w:p>
        </w:tc>
        <w:tc>
          <w:tcPr>
            <w:tcW w:w="136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pPr>
          </w:p>
        </w:tc>
        <w:tc>
          <w:tcPr>
            <w:tcW w:w="1185" w:type="dxa"/>
            <w:vAlign w:val="center"/>
          </w:tcPr>
          <w:p>
            <w:pPr>
              <w:pStyle w:val="140"/>
            </w:pPr>
            <w:r>
              <w:rPr>
                <w:rFonts w:hint="eastAsia"/>
              </w:rPr>
              <w:t>PMVE加成物脱氯反应釜冷凝器</w:t>
            </w:r>
          </w:p>
        </w:tc>
        <w:tc>
          <w:tcPr>
            <w:tcW w:w="1185" w:type="dxa"/>
            <w:vAlign w:val="center"/>
          </w:tcPr>
          <w:p>
            <w:pPr>
              <w:pStyle w:val="140"/>
            </w:pPr>
            <w:r>
              <w:rPr>
                <w:rFonts w:hint="eastAsia"/>
              </w:rPr>
              <w:t>不凝气</w:t>
            </w:r>
          </w:p>
        </w:tc>
        <w:tc>
          <w:tcPr>
            <w:tcW w:w="709" w:type="dxa"/>
            <w:vAlign w:val="center"/>
          </w:tcPr>
          <w:p>
            <w:pPr>
              <w:pStyle w:val="140"/>
            </w:pPr>
            <w:r>
              <w:rPr>
                <w:rFonts w:hint="eastAsia"/>
              </w:rPr>
              <w:t>G</w:t>
            </w:r>
            <w:r>
              <w:rPr>
                <w:rFonts w:hint="eastAsia"/>
                <w:vertAlign w:val="subscript"/>
              </w:rPr>
              <w:t>3-19</w:t>
            </w:r>
          </w:p>
        </w:tc>
        <w:tc>
          <w:tcPr>
            <w:tcW w:w="2784" w:type="dxa"/>
            <w:vAlign w:val="center"/>
          </w:tcPr>
          <w:p>
            <w:pPr>
              <w:pStyle w:val="140"/>
              <w:rPr>
                <w:szCs w:val="18"/>
              </w:rPr>
            </w:pPr>
            <w:r>
              <w:rPr>
                <w:rFonts w:hint="eastAsia"/>
                <w:szCs w:val="18"/>
              </w:rPr>
              <w:t>废气量：5m</w:t>
            </w:r>
            <w:r>
              <w:rPr>
                <w:rFonts w:hint="eastAsia"/>
                <w:szCs w:val="18"/>
                <w:vertAlign w:val="superscript"/>
              </w:rPr>
              <w:t>3</w:t>
            </w:r>
            <w:r>
              <w:rPr>
                <w:rFonts w:hint="eastAsia"/>
                <w:szCs w:val="18"/>
              </w:rPr>
              <w:t>/h</w:t>
            </w:r>
          </w:p>
          <w:p>
            <w:pPr>
              <w:pStyle w:val="140"/>
            </w:pPr>
            <w:r>
              <w:rPr>
                <w:rFonts w:hint="eastAsia"/>
              </w:rPr>
              <w:t>有机氟化物（四氟乙烯、甲基醚等）: 80mg/m</w:t>
            </w:r>
            <w:r>
              <w:rPr>
                <w:rFonts w:hint="eastAsia"/>
                <w:vertAlign w:val="superscript"/>
              </w:rPr>
              <w:t>3</w:t>
            </w:r>
            <w:r>
              <w:rPr>
                <w:rFonts w:hint="eastAsia"/>
              </w:rPr>
              <w:t>,0.0004kg/h</w:t>
            </w:r>
          </w:p>
        </w:tc>
        <w:tc>
          <w:tcPr>
            <w:tcW w:w="992" w:type="dxa"/>
            <w:vAlign w:val="center"/>
          </w:tcPr>
          <w:p>
            <w:pPr>
              <w:pStyle w:val="140"/>
            </w:pPr>
            <w:r>
              <w:rPr>
                <w:rFonts w:hint="eastAsia"/>
              </w:rPr>
              <w:t>720</w:t>
            </w:r>
          </w:p>
        </w:tc>
        <w:tc>
          <w:tcPr>
            <w:tcW w:w="136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PMVE精馏塔1#冷凝器</w:t>
            </w:r>
          </w:p>
        </w:tc>
        <w:tc>
          <w:tcPr>
            <w:tcW w:w="1185" w:type="dxa"/>
            <w:vAlign w:val="center"/>
          </w:tcPr>
          <w:p>
            <w:pPr>
              <w:pStyle w:val="140"/>
            </w:pPr>
            <w:r>
              <w:rPr>
                <w:rFonts w:hint="eastAsia"/>
              </w:rPr>
              <w:t>不凝气</w:t>
            </w:r>
          </w:p>
        </w:tc>
        <w:tc>
          <w:tcPr>
            <w:tcW w:w="709" w:type="dxa"/>
            <w:vAlign w:val="center"/>
          </w:tcPr>
          <w:p>
            <w:pPr>
              <w:pStyle w:val="140"/>
            </w:pPr>
            <w:r>
              <w:rPr>
                <w:rFonts w:hint="eastAsia"/>
              </w:rPr>
              <w:t>G</w:t>
            </w:r>
            <w:r>
              <w:rPr>
                <w:rFonts w:hint="eastAsia"/>
                <w:vertAlign w:val="subscript"/>
              </w:rPr>
              <w:t>3-20</w:t>
            </w:r>
          </w:p>
        </w:tc>
        <w:tc>
          <w:tcPr>
            <w:tcW w:w="2784" w:type="dxa"/>
            <w:vAlign w:val="center"/>
          </w:tcPr>
          <w:p>
            <w:pPr>
              <w:pStyle w:val="140"/>
              <w:rPr>
                <w:szCs w:val="18"/>
              </w:rPr>
            </w:pPr>
            <w:r>
              <w:rPr>
                <w:rFonts w:hint="eastAsia"/>
                <w:szCs w:val="18"/>
              </w:rPr>
              <w:t>废气量：5m</w:t>
            </w:r>
            <w:r>
              <w:rPr>
                <w:rFonts w:hint="eastAsia"/>
                <w:szCs w:val="18"/>
                <w:vertAlign w:val="superscript"/>
              </w:rPr>
              <w:t>3</w:t>
            </w:r>
            <w:r>
              <w:rPr>
                <w:rFonts w:hint="eastAsia"/>
                <w:szCs w:val="18"/>
              </w:rPr>
              <w:t>/h</w:t>
            </w:r>
          </w:p>
          <w:p>
            <w:pPr>
              <w:pStyle w:val="140"/>
              <w:rPr>
                <w:szCs w:val="18"/>
              </w:rPr>
            </w:pPr>
            <w:r>
              <w:rPr>
                <w:rFonts w:hint="eastAsia"/>
              </w:rPr>
              <w:t>有机氟化物（四氟乙烯、甲基醚等）: 80mg/m</w:t>
            </w:r>
            <w:r>
              <w:rPr>
                <w:rFonts w:hint="eastAsia"/>
                <w:vertAlign w:val="superscript"/>
              </w:rPr>
              <w:t>3</w:t>
            </w:r>
            <w:r>
              <w:rPr>
                <w:rFonts w:hint="eastAsia"/>
              </w:rPr>
              <w:t>,0.0004kg/h</w:t>
            </w:r>
          </w:p>
        </w:tc>
        <w:tc>
          <w:tcPr>
            <w:tcW w:w="992" w:type="dxa"/>
            <w:vAlign w:val="center"/>
          </w:tcPr>
          <w:p>
            <w:pPr>
              <w:pStyle w:val="140"/>
            </w:pPr>
            <w:r>
              <w:rPr>
                <w:rFonts w:hint="eastAsia"/>
              </w:rPr>
              <w:t>720</w:t>
            </w:r>
          </w:p>
        </w:tc>
        <w:tc>
          <w:tcPr>
            <w:tcW w:w="136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pPr>
          </w:p>
        </w:tc>
        <w:tc>
          <w:tcPr>
            <w:tcW w:w="1185" w:type="dxa"/>
            <w:vAlign w:val="center"/>
          </w:tcPr>
          <w:p>
            <w:pPr>
              <w:pStyle w:val="140"/>
            </w:pPr>
            <w:r>
              <w:rPr>
                <w:rFonts w:hint="eastAsia"/>
              </w:rPr>
              <w:t>PMVE精馏塔2#冷凝器</w:t>
            </w:r>
          </w:p>
        </w:tc>
        <w:tc>
          <w:tcPr>
            <w:tcW w:w="1185" w:type="dxa"/>
            <w:vAlign w:val="center"/>
          </w:tcPr>
          <w:p>
            <w:pPr>
              <w:pStyle w:val="140"/>
            </w:pPr>
            <w:r>
              <w:rPr>
                <w:rFonts w:hint="eastAsia"/>
              </w:rPr>
              <w:t>不凝气</w:t>
            </w:r>
          </w:p>
        </w:tc>
        <w:tc>
          <w:tcPr>
            <w:tcW w:w="709" w:type="dxa"/>
            <w:vAlign w:val="center"/>
          </w:tcPr>
          <w:p>
            <w:pPr>
              <w:pStyle w:val="140"/>
            </w:pPr>
            <w:r>
              <w:rPr>
                <w:rFonts w:hint="eastAsia"/>
              </w:rPr>
              <w:t>G</w:t>
            </w:r>
            <w:r>
              <w:rPr>
                <w:rFonts w:hint="eastAsia"/>
                <w:vertAlign w:val="subscript"/>
              </w:rPr>
              <w:t>3-21</w:t>
            </w:r>
          </w:p>
        </w:tc>
        <w:tc>
          <w:tcPr>
            <w:tcW w:w="2784" w:type="dxa"/>
            <w:vAlign w:val="center"/>
          </w:tcPr>
          <w:p>
            <w:pPr>
              <w:pStyle w:val="140"/>
              <w:rPr>
                <w:szCs w:val="18"/>
              </w:rPr>
            </w:pPr>
            <w:r>
              <w:rPr>
                <w:rFonts w:hint="eastAsia"/>
                <w:szCs w:val="18"/>
              </w:rPr>
              <w:t>废气量：5m</w:t>
            </w:r>
            <w:r>
              <w:rPr>
                <w:rFonts w:hint="eastAsia"/>
                <w:szCs w:val="18"/>
                <w:vertAlign w:val="superscript"/>
              </w:rPr>
              <w:t>3</w:t>
            </w:r>
            <w:r>
              <w:rPr>
                <w:rFonts w:hint="eastAsia"/>
                <w:szCs w:val="18"/>
              </w:rPr>
              <w:t>/h</w:t>
            </w:r>
          </w:p>
          <w:p>
            <w:pPr>
              <w:pStyle w:val="140"/>
              <w:rPr>
                <w:szCs w:val="18"/>
              </w:rPr>
            </w:pPr>
            <w:r>
              <w:rPr>
                <w:rFonts w:hint="eastAsia"/>
              </w:rPr>
              <w:t>有机氟化物（四氟乙烯、甲基醚等）: 80mg/m</w:t>
            </w:r>
            <w:r>
              <w:rPr>
                <w:rFonts w:hint="eastAsia"/>
                <w:vertAlign w:val="superscript"/>
              </w:rPr>
              <w:t>3</w:t>
            </w:r>
            <w:r>
              <w:rPr>
                <w:rFonts w:hint="eastAsia"/>
              </w:rPr>
              <w:t>,0.0004kg/h</w:t>
            </w:r>
          </w:p>
        </w:tc>
        <w:tc>
          <w:tcPr>
            <w:tcW w:w="992" w:type="dxa"/>
            <w:vAlign w:val="center"/>
          </w:tcPr>
          <w:p>
            <w:pPr>
              <w:pStyle w:val="140"/>
            </w:pPr>
            <w:r>
              <w:rPr>
                <w:rFonts w:hint="eastAsia"/>
              </w:rPr>
              <w:t>720</w:t>
            </w:r>
          </w:p>
        </w:tc>
        <w:tc>
          <w:tcPr>
            <w:tcW w:w="1368" w:type="dxa"/>
            <w:vMerge w:val="continue"/>
            <w:vAlign w:val="center"/>
          </w:tcPr>
          <w:p>
            <w:pPr>
              <w:pStyle w:val="14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pPr>
            <w:r>
              <w:rPr>
                <w:rFonts w:hint="eastAsia"/>
              </w:rPr>
              <w:t>固体废物</w:t>
            </w:r>
          </w:p>
        </w:tc>
        <w:tc>
          <w:tcPr>
            <w:tcW w:w="1185" w:type="dxa"/>
            <w:vAlign w:val="center"/>
          </w:tcPr>
          <w:p>
            <w:pPr>
              <w:pStyle w:val="140"/>
            </w:pPr>
            <w:r>
              <w:rPr>
                <w:rFonts w:hint="eastAsia"/>
              </w:rPr>
              <w:t>PMVE加成物精馏塔1#</w:t>
            </w:r>
          </w:p>
          <w:p>
            <w:pPr>
              <w:pStyle w:val="140"/>
            </w:pPr>
            <w:r>
              <w:rPr>
                <w:rFonts w:hint="eastAsia"/>
              </w:rPr>
              <w:t>冷凝器</w:t>
            </w:r>
          </w:p>
        </w:tc>
        <w:tc>
          <w:tcPr>
            <w:tcW w:w="1185" w:type="dxa"/>
            <w:vAlign w:val="center"/>
          </w:tcPr>
          <w:p>
            <w:pPr>
              <w:pStyle w:val="140"/>
            </w:pPr>
            <w:r>
              <w:rPr>
                <w:rFonts w:hint="eastAsia"/>
              </w:rPr>
              <w:t>冷凝液</w:t>
            </w:r>
          </w:p>
        </w:tc>
        <w:tc>
          <w:tcPr>
            <w:tcW w:w="709" w:type="dxa"/>
            <w:vAlign w:val="center"/>
          </w:tcPr>
          <w:p>
            <w:pPr>
              <w:pStyle w:val="140"/>
            </w:pPr>
            <w:r>
              <w:rPr>
                <w:rFonts w:hint="eastAsia"/>
              </w:rPr>
              <w:t>S</w:t>
            </w:r>
            <w:r>
              <w:rPr>
                <w:rFonts w:hint="eastAsia"/>
                <w:vertAlign w:val="subscript"/>
              </w:rPr>
              <w:t>3-6</w:t>
            </w:r>
          </w:p>
        </w:tc>
        <w:tc>
          <w:tcPr>
            <w:tcW w:w="2784" w:type="dxa"/>
            <w:vAlign w:val="center"/>
          </w:tcPr>
          <w:p>
            <w:pPr>
              <w:pStyle w:val="140"/>
              <w:rPr>
                <w:szCs w:val="18"/>
              </w:rPr>
            </w:pPr>
            <w:r>
              <w:rPr>
                <w:rFonts w:hint="eastAsia"/>
                <w:szCs w:val="18"/>
              </w:rPr>
              <w:t>废液量：2.3t/a</w:t>
            </w:r>
          </w:p>
          <w:p>
            <w:pPr>
              <w:pStyle w:val="140"/>
              <w:rPr>
                <w:szCs w:val="18"/>
              </w:rPr>
            </w:pPr>
            <w:r>
              <w:rPr>
                <w:rFonts w:hint="eastAsia"/>
              </w:rPr>
              <w:t>F114：45%；F113：50%</w:t>
            </w:r>
          </w:p>
        </w:tc>
        <w:tc>
          <w:tcPr>
            <w:tcW w:w="992" w:type="dxa"/>
            <w:vAlign w:val="center"/>
          </w:tcPr>
          <w:p>
            <w:pPr>
              <w:pStyle w:val="140"/>
            </w:pPr>
            <w:r>
              <w:rPr>
                <w:rFonts w:hint="eastAsia"/>
              </w:rPr>
              <w:t>-</w:t>
            </w:r>
          </w:p>
        </w:tc>
        <w:tc>
          <w:tcPr>
            <w:tcW w:w="1368" w:type="dxa"/>
            <w:vMerge w:val="restart"/>
            <w:vAlign w:val="center"/>
          </w:tcPr>
          <w:p>
            <w:pPr>
              <w:pStyle w:val="140"/>
            </w:pPr>
            <w:r>
              <w:rPr>
                <w:rFonts w:hint="eastAsia"/>
              </w:rPr>
              <w:t>送厂区等离子焚烧炉焚烧处置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continue"/>
            <w:vAlign w:val="center"/>
          </w:tcPr>
          <w:p>
            <w:pPr>
              <w:pStyle w:val="140"/>
            </w:pPr>
          </w:p>
        </w:tc>
        <w:tc>
          <w:tcPr>
            <w:tcW w:w="1185" w:type="dxa"/>
            <w:vAlign w:val="center"/>
          </w:tcPr>
          <w:p>
            <w:pPr>
              <w:pStyle w:val="140"/>
            </w:pPr>
            <w:r>
              <w:rPr>
                <w:rFonts w:hint="eastAsia"/>
              </w:rPr>
              <w:t>PMVE加成物精馏塔2#</w:t>
            </w:r>
          </w:p>
        </w:tc>
        <w:tc>
          <w:tcPr>
            <w:tcW w:w="1185" w:type="dxa"/>
            <w:vAlign w:val="center"/>
          </w:tcPr>
          <w:p>
            <w:pPr>
              <w:pStyle w:val="140"/>
            </w:pPr>
            <w:r>
              <w:rPr>
                <w:rFonts w:hint="eastAsia"/>
              </w:rPr>
              <w:t>精馏残液</w:t>
            </w:r>
          </w:p>
        </w:tc>
        <w:tc>
          <w:tcPr>
            <w:tcW w:w="709" w:type="dxa"/>
            <w:vAlign w:val="center"/>
          </w:tcPr>
          <w:p>
            <w:pPr>
              <w:pStyle w:val="140"/>
            </w:pPr>
            <w:r>
              <w:rPr>
                <w:rFonts w:hint="eastAsia"/>
              </w:rPr>
              <w:t>S</w:t>
            </w:r>
            <w:r>
              <w:rPr>
                <w:rFonts w:hint="eastAsia"/>
                <w:vertAlign w:val="subscript"/>
              </w:rPr>
              <w:t>3-7</w:t>
            </w:r>
          </w:p>
        </w:tc>
        <w:tc>
          <w:tcPr>
            <w:tcW w:w="2784" w:type="dxa"/>
            <w:vAlign w:val="center"/>
          </w:tcPr>
          <w:p>
            <w:pPr>
              <w:pStyle w:val="140"/>
              <w:rPr>
                <w:szCs w:val="18"/>
              </w:rPr>
            </w:pPr>
            <w:r>
              <w:rPr>
                <w:rFonts w:hint="eastAsia"/>
                <w:szCs w:val="18"/>
              </w:rPr>
              <w:t>废液量：16.4t/a</w:t>
            </w:r>
          </w:p>
          <w:p>
            <w:pPr>
              <w:pStyle w:val="140"/>
              <w:rPr>
                <w:szCs w:val="18"/>
              </w:rPr>
            </w:pPr>
            <w:r>
              <w:rPr>
                <w:rFonts w:hint="eastAsia"/>
              </w:rPr>
              <w:t>氟氯油:98%</w:t>
            </w:r>
          </w:p>
        </w:tc>
        <w:tc>
          <w:tcPr>
            <w:tcW w:w="992" w:type="dxa"/>
            <w:vAlign w:val="center"/>
          </w:tcPr>
          <w:p>
            <w:pPr>
              <w:pStyle w:val="140"/>
            </w:pPr>
            <w:r>
              <w:rPr>
                <w:rFonts w:hint="eastAsia"/>
              </w:rPr>
              <w:t>-</w:t>
            </w:r>
          </w:p>
        </w:tc>
        <w:tc>
          <w:tcPr>
            <w:tcW w:w="1368" w:type="dxa"/>
            <w:vMerge w:val="continue"/>
            <w:vAlign w:val="center"/>
          </w:tcPr>
          <w:p>
            <w:pPr>
              <w:pStyle w:val="140"/>
            </w:pPr>
          </w:p>
        </w:tc>
      </w:tr>
    </w:tbl>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2）脱氯反应残液处理系统</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随着合成MOVE工艺工程化放大，脱氯反应产生的残液量也随之增大，大量含有DMF的残液必须进行处理，最好的方式是回收DMF残液，以达到环保、经济和降低环境风险的目的。脱氯残液中的DMF含有大量杂质、因此需建立脱氯残液处理装置。系统包括：脱氯残液槽、过滤器和精馏系统等。</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来自MOVE加成物脱氯釜和PMVE加成物脱氯釜的残液送至脱氯残液槽，经抽滤去除其中的锌粉等杂质后，进入精馏塔。抽滤废气（G3-22）经二级水洗+碱洗+二级活性炭处理，过滤渣（S3-8）作为危废外委处置。DMF以气相的形式分离，塔顶产生的DMF气体经冷凝后，送DMF贮槽回用。不凝气（G3-23）经二级水洗+碱洗+二级活性炭处理，塔釜微量高沸物（S3-9）送厂区等离子焚烧炉处理。</w:t>
      </w:r>
    </w:p>
    <w:p>
      <w:pPr>
        <w:spacing w:line="240" w:lineRule="auto"/>
        <w:ind w:firstLine="411" w:firstLineChars="196"/>
        <w:jc w:val="center"/>
        <w:rPr>
          <w:rFonts w:ascii="黑体" w:eastAsia="黑体"/>
        </w:rPr>
      </w:pPr>
      <w:r>
        <w:rPr>
          <w:rFonts w:ascii="黑体" w:eastAsia="黑体"/>
        </w:rPr>
        <w:object>
          <v:shape id="_x0000_i1036" o:spt="75" type="#_x0000_t75" style="height:254pt;width:218.5pt;" o:ole="t" filled="f" o:preferrelative="t" stroked="f" coordsize="21600,21600">
            <v:path/>
            <v:fill on="f" focussize="0,0"/>
            <v:stroke on="f" joinstyle="miter"/>
            <v:imagedata r:id="rId42" o:title=""/>
            <o:lock v:ext="edit" aspectratio="t"/>
            <w10:wrap type="none"/>
            <w10:anchorlock/>
          </v:shape>
          <o:OLEObject Type="Embed" ProgID="Visio.Drawing.11" ShapeID="_x0000_i1036" DrawAspect="Content" ObjectID="_1468075736" r:id="rId41">
            <o:LockedField>false</o:LockedField>
          </o:OLEObject>
        </w:object>
      </w:r>
    </w:p>
    <w:p>
      <w:pPr>
        <w:pStyle w:val="146"/>
        <w:spacing w:beforeLines="0"/>
        <w:ind w:firstLine="400"/>
        <w:rPr>
          <w:b/>
          <w:bCs/>
        </w:rPr>
      </w:pPr>
      <w:r>
        <w:rPr>
          <w:rFonts w:hint="eastAsia"/>
        </w:rPr>
        <w:t>图</w:t>
      </w:r>
      <w:r>
        <w:rPr>
          <w:rFonts w:hint="eastAsia" w:cs="Times New Roman"/>
          <w:kern w:val="2"/>
          <w:sz w:val="24"/>
          <w:szCs w:val="24"/>
          <w:lang w:val="en-US" w:eastAsia="zh-CN" w:bidi="ar-SA"/>
        </w:rPr>
        <w:t>2.4.3.3-1</w:t>
      </w:r>
      <w:r>
        <w:rPr>
          <w:rFonts w:hint="eastAsia"/>
        </w:rPr>
        <w:t xml:space="preserve">       DMF回收工段工艺流程及产污节点图</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项目DMF污染物产生及治理情况如下表所示。</w:t>
      </w:r>
    </w:p>
    <w:p>
      <w:pPr>
        <w:pStyle w:val="146"/>
        <w:spacing w:before="31"/>
      </w:pPr>
      <w:r>
        <w:rPr>
          <w:rFonts w:hint="eastAsia"/>
        </w:rPr>
        <w:t>表</w:t>
      </w:r>
      <w:r>
        <w:rPr>
          <w:rFonts w:hint="eastAsia" w:cs="Times New Roman"/>
          <w:kern w:val="2"/>
          <w:sz w:val="24"/>
          <w:szCs w:val="24"/>
          <w:lang w:val="en-US" w:eastAsia="zh-CN" w:bidi="ar-SA"/>
        </w:rPr>
        <w:t>2.4.3.3-2</w:t>
      </w:r>
      <w:r>
        <w:rPr>
          <w:rFonts w:hint="eastAsia"/>
        </w:rPr>
        <w:t xml:space="preserve">      DMF回收工段污染物产生及治理情况表</w:t>
      </w:r>
    </w:p>
    <w:tbl>
      <w:tblPr>
        <w:tblStyle w:val="43"/>
        <w:tblW w:w="875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5"/>
        <w:gridCol w:w="1185"/>
        <w:gridCol w:w="709"/>
        <w:gridCol w:w="2642"/>
        <w:gridCol w:w="992"/>
        <w:gridCol w:w="12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spacing w:line="240" w:lineRule="exact"/>
            </w:pPr>
            <w:r>
              <w:rPr>
                <w:rFonts w:hint="eastAsia"/>
              </w:rPr>
              <w:t>污染物类型</w:t>
            </w:r>
          </w:p>
        </w:tc>
        <w:tc>
          <w:tcPr>
            <w:tcW w:w="1185" w:type="dxa"/>
            <w:vAlign w:val="center"/>
          </w:tcPr>
          <w:p>
            <w:pPr>
              <w:pStyle w:val="140"/>
              <w:spacing w:line="240" w:lineRule="exact"/>
            </w:pPr>
            <w:r>
              <w:rPr>
                <w:rFonts w:hint="eastAsia"/>
              </w:rPr>
              <w:t>装置</w:t>
            </w:r>
          </w:p>
        </w:tc>
        <w:tc>
          <w:tcPr>
            <w:tcW w:w="1185" w:type="dxa"/>
            <w:vAlign w:val="center"/>
          </w:tcPr>
          <w:p>
            <w:pPr>
              <w:pStyle w:val="140"/>
              <w:spacing w:line="240" w:lineRule="exact"/>
            </w:pPr>
            <w:r>
              <w:rPr>
                <w:rFonts w:hint="eastAsia"/>
              </w:rPr>
              <w:t>污染物名称</w:t>
            </w:r>
          </w:p>
        </w:tc>
        <w:tc>
          <w:tcPr>
            <w:tcW w:w="709" w:type="dxa"/>
            <w:vAlign w:val="center"/>
          </w:tcPr>
          <w:p>
            <w:pPr>
              <w:pStyle w:val="140"/>
              <w:spacing w:line="240" w:lineRule="exact"/>
            </w:pPr>
            <w:r>
              <w:rPr>
                <w:rFonts w:hint="eastAsia"/>
              </w:rPr>
              <w:t>代号</w:t>
            </w:r>
          </w:p>
        </w:tc>
        <w:tc>
          <w:tcPr>
            <w:tcW w:w="2642" w:type="dxa"/>
            <w:vAlign w:val="center"/>
          </w:tcPr>
          <w:p>
            <w:pPr>
              <w:pStyle w:val="140"/>
              <w:spacing w:line="240" w:lineRule="exact"/>
            </w:pPr>
            <w:r>
              <w:rPr>
                <w:rFonts w:hint="eastAsia"/>
              </w:rPr>
              <w:t>污染物源强</w:t>
            </w:r>
          </w:p>
        </w:tc>
        <w:tc>
          <w:tcPr>
            <w:tcW w:w="992" w:type="dxa"/>
            <w:vAlign w:val="center"/>
          </w:tcPr>
          <w:p>
            <w:pPr>
              <w:pStyle w:val="140"/>
              <w:spacing w:line="240" w:lineRule="exact"/>
            </w:pPr>
            <w:r>
              <w:rPr>
                <w:rFonts w:hint="eastAsia"/>
              </w:rPr>
              <w:t>排放时间</w:t>
            </w:r>
          </w:p>
          <w:p>
            <w:pPr>
              <w:pStyle w:val="140"/>
              <w:spacing w:line="240" w:lineRule="exact"/>
            </w:pPr>
            <w:r>
              <w:rPr>
                <w:rFonts w:hint="eastAsia"/>
              </w:rPr>
              <w:t>（h/a）</w:t>
            </w:r>
          </w:p>
        </w:tc>
        <w:tc>
          <w:tcPr>
            <w:tcW w:w="1277" w:type="dxa"/>
            <w:vAlign w:val="center"/>
          </w:tcPr>
          <w:p>
            <w:pPr>
              <w:pStyle w:val="140"/>
              <w:spacing w:line="240" w:lineRule="exact"/>
            </w:pPr>
            <w:r>
              <w:rPr>
                <w:rFonts w:hint="eastAsia"/>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restart"/>
            <w:vAlign w:val="center"/>
          </w:tcPr>
          <w:p>
            <w:pPr>
              <w:pStyle w:val="140"/>
              <w:spacing w:line="240" w:lineRule="exact"/>
            </w:pPr>
            <w:r>
              <w:rPr>
                <w:rFonts w:hint="eastAsia"/>
              </w:rPr>
              <w:t>废气污染物</w:t>
            </w:r>
          </w:p>
        </w:tc>
        <w:tc>
          <w:tcPr>
            <w:tcW w:w="1185" w:type="dxa"/>
            <w:vAlign w:val="center"/>
          </w:tcPr>
          <w:p>
            <w:pPr>
              <w:pStyle w:val="140"/>
              <w:spacing w:line="240" w:lineRule="exact"/>
            </w:pPr>
            <w:r>
              <w:rPr>
                <w:rFonts w:hint="eastAsia"/>
              </w:rPr>
              <w:t>过滤器</w:t>
            </w:r>
          </w:p>
        </w:tc>
        <w:tc>
          <w:tcPr>
            <w:tcW w:w="1185" w:type="dxa"/>
            <w:vAlign w:val="center"/>
          </w:tcPr>
          <w:p>
            <w:pPr>
              <w:pStyle w:val="140"/>
              <w:spacing w:line="240" w:lineRule="exact"/>
            </w:pPr>
            <w:r>
              <w:rPr>
                <w:rFonts w:hint="eastAsia"/>
              </w:rPr>
              <w:t>抽滤废气</w:t>
            </w:r>
          </w:p>
        </w:tc>
        <w:tc>
          <w:tcPr>
            <w:tcW w:w="709" w:type="dxa"/>
            <w:vAlign w:val="center"/>
          </w:tcPr>
          <w:p>
            <w:pPr>
              <w:pStyle w:val="140"/>
              <w:spacing w:line="240" w:lineRule="exact"/>
            </w:pPr>
            <w:r>
              <w:rPr>
                <w:rFonts w:hint="eastAsia"/>
              </w:rPr>
              <w:t>G</w:t>
            </w:r>
            <w:r>
              <w:rPr>
                <w:rFonts w:hint="eastAsia"/>
                <w:vertAlign w:val="subscript"/>
              </w:rPr>
              <w:t>3-2</w:t>
            </w:r>
            <w:r>
              <w:rPr>
                <w:vertAlign w:val="subscript"/>
              </w:rPr>
              <w:t>2</w:t>
            </w:r>
          </w:p>
        </w:tc>
        <w:tc>
          <w:tcPr>
            <w:tcW w:w="2642" w:type="dxa"/>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pPr>
            <w:r>
              <w:rPr>
                <w:rFonts w:hint="eastAsia"/>
              </w:rPr>
              <w:t>有机氟化物（甲基醚加成物）: 90mg/m</w:t>
            </w:r>
            <w:r>
              <w:rPr>
                <w:rFonts w:hint="eastAsia"/>
                <w:vertAlign w:val="superscript"/>
              </w:rPr>
              <w:t>3</w:t>
            </w:r>
            <w:r>
              <w:rPr>
                <w:rFonts w:hint="eastAsia"/>
              </w:rPr>
              <w:t>,0.00045kg/h</w:t>
            </w:r>
          </w:p>
          <w:p>
            <w:pPr>
              <w:pStyle w:val="140"/>
              <w:spacing w:line="240" w:lineRule="exact"/>
              <w:rPr>
                <w:szCs w:val="18"/>
              </w:rPr>
            </w:pPr>
            <w:r>
              <w:rPr>
                <w:rFonts w:hint="eastAsia"/>
              </w:rPr>
              <w:t>DMF: 360mg/m</w:t>
            </w:r>
            <w:r>
              <w:rPr>
                <w:rFonts w:hint="eastAsia"/>
                <w:vertAlign w:val="superscript"/>
              </w:rPr>
              <w:t>3</w:t>
            </w:r>
            <w:r>
              <w:rPr>
                <w:rFonts w:hint="eastAsia"/>
              </w:rPr>
              <w:t>,0.0018kg/h</w:t>
            </w:r>
          </w:p>
        </w:tc>
        <w:tc>
          <w:tcPr>
            <w:tcW w:w="992" w:type="dxa"/>
            <w:vAlign w:val="center"/>
          </w:tcPr>
          <w:p>
            <w:pPr>
              <w:pStyle w:val="140"/>
              <w:spacing w:line="240" w:lineRule="exact"/>
            </w:pPr>
            <w:r>
              <w:rPr>
                <w:rFonts w:hint="eastAsia"/>
              </w:rPr>
              <w:t>720</w:t>
            </w:r>
          </w:p>
        </w:tc>
        <w:tc>
          <w:tcPr>
            <w:tcW w:w="1277" w:type="dxa"/>
            <w:vMerge w:val="restart"/>
            <w:vAlign w:val="center"/>
          </w:tcPr>
          <w:p>
            <w:pPr>
              <w:pStyle w:val="140"/>
              <w:spacing w:line="240" w:lineRule="exact"/>
            </w:pPr>
            <w:r>
              <w:rPr>
                <w:rFonts w:hint="eastAsia"/>
              </w:rPr>
              <w:t>经</w:t>
            </w:r>
            <w:r>
              <w:t>二级水洗+碱洗+二级活性炭</w:t>
            </w:r>
            <w:r>
              <w:rPr>
                <w:rFonts w:hint="eastAsia"/>
              </w:rPr>
              <w:t>处理，后经1根2</w:t>
            </w:r>
            <w:r>
              <w:t>5</w:t>
            </w:r>
            <w:r>
              <w:rPr>
                <w:rFonts w:hint="eastAsia"/>
              </w:rPr>
              <w:t>m排气筒外排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40" w:lineRule="exact"/>
            </w:pPr>
          </w:p>
        </w:tc>
        <w:tc>
          <w:tcPr>
            <w:tcW w:w="1185" w:type="dxa"/>
            <w:vAlign w:val="center"/>
          </w:tcPr>
          <w:p>
            <w:pPr>
              <w:pStyle w:val="140"/>
              <w:spacing w:line="240" w:lineRule="exact"/>
            </w:pPr>
            <w:r>
              <w:rPr>
                <w:rFonts w:hint="eastAsia"/>
              </w:rPr>
              <w:t>DMF精馏冷凝器</w:t>
            </w:r>
          </w:p>
        </w:tc>
        <w:tc>
          <w:tcPr>
            <w:tcW w:w="1185" w:type="dxa"/>
            <w:vAlign w:val="center"/>
          </w:tcPr>
          <w:p>
            <w:pPr>
              <w:pStyle w:val="140"/>
              <w:spacing w:line="240" w:lineRule="exact"/>
            </w:pPr>
            <w:r>
              <w:rPr>
                <w:rFonts w:hint="eastAsia"/>
              </w:rPr>
              <w:t>不凝气</w:t>
            </w:r>
          </w:p>
        </w:tc>
        <w:tc>
          <w:tcPr>
            <w:tcW w:w="709" w:type="dxa"/>
            <w:vAlign w:val="center"/>
          </w:tcPr>
          <w:p>
            <w:pPr>
              <w:pStyle w:val="140"/>
              <w:spacing w:line="240" w:lineRule="exact"/>
            </w:pPr>
            <w:r>
              <w:rPr>
                <w:rFonts w:hint="eastAsia"/>
              </w:rPr>
              <w:t>G</w:t>
            </w:r>
            <w:r>
              <w:rPr>
                <w:rFonts w:hint="eastAsia"/>
                <w:vertAlign w:val="subscript"/>
              </w:rPr>
              <w:t>3-2</w:t>
            </w:r>
            <w:r>
              <w:rPr>
                <w:vertAlign w:val="subscript"/>
              </w:rPr>
              <w:t>3</w:t>
            </w:r>
          </w:p>
        </w:tc>
        <w:tc>
          <w:tcPr>
            <w:tcW w:w="2642" w:type="dxa"/>
            <w:vAlign w:val="center"/>
          </w:tcPr>
          <w:p>
            <w:pPr>
              <w:pStyle w:val="140"/>
              <w:spacing w:line="240" w:lineRule="exact"/>
              <w:rPr>
                <w:szCs w:val="18"/>
              </w:rPr>
            </w:pPr>
            <w:r>
              <w:rPr>
                <w:rFonts w:hint="eastAsia"/>
                <w:szCs w:val="18"/>
              </w:rPr>
              <w:t>废气量：5m</w:t>
            </w:r>
            <w:r>
              <w:rPr>
                <w:rFonts w:hint="eastAsia"/>
                <w:szCs w:val="18"/>
                <w:vertAlign w:val="superscript"/>
              </w:rPr>
              <w:t>3</w:t>
            </w:r>
            <w:r>
              <w:rPr>
                <w:rFonts w:hint="eastAsia"/>
                <w:szCs w:val="18"/>
              </w:rPr>
              <w:t>/h</w:t>
            </w:r>
          </w:p>
          <w:p>
            <w:pPr>
              <w:pStyle w:val="140"/>
              <w:spacing w:line="240" w:lineRule="exact"/>
            </w:pPr>
            <w:r>
              <w:rPr>
                <w:rFonts w:hint="eastAsia"/>
              </w:rPr>
              <w:t>有机氟化物（甲基醚加成物）: 90mg/m</w:t>
            </w:r>
            <w:r>
              <w:rPr>
                <w:rFonts w:hint="eastAsia"/>
                <w:vertAlign w:val="superscript"/>
              </w:rPr>
              <w:t>3</w:t>
            </w:r>
            <w:r>
              <w:rPr>
                <w:rFonts w:hint="eastAsia"/>
              </w:rPr>
              <w:t>,0.00045kg/h</w:t>
            </w:r>
          </w:p>
          <w:p>
            <w:pPr>
              <w:pStyle w:val="140"/>
              <w:spacing w:line="240" w:lineRule="exact"/>
            </w:pPr>
            <w:r>
              <w:rPr>
                <w:rFonts w:hint="eastAsia"/>
              </w:rPr>
              <w:t>DMF: 360mg/m</w:t>
            </w:r>
            <w:r>
              <w:rPr>
                <w:rFonts w:hint="eastAsia"/>
                <w:vertAlign w:val="superscript"/>
              </w:rPr>
              <w:t>3</w:t>
            </w:r>
            <w:r>
              <w:rPr>
                <w:rFonts w:hint="eastAsia"/>
              </w:rPr>
              <w:t>,0.0018kg/h</w:t>
            </w:r>
          </w:p>
        </w:tc>
        <w:tc>
          <w:tcPr>
            <w:tcW w:w="992" w:type="dxa"/>
            <w:vAlign w:val="center"/>
          </w:tcPr>
          <w:p>
            <w:pPr>
              <w:pStyle w:val="140"/>
              <w:spacing w:line="240" w:lineRule="exact"/>
            </w:pPr>
            <w:r>
              <w:rPr>
                <w:rFonts w:hint="eastAsia"/>
              </w:rPr>
              <w:t>720</w:t>
            </w:r>
          </w:p>
        </w:tc>
        <w:tc>
          <w:tcPr>
            <w:tcW w:w="1277" w:type="dxa"/>
            <w:vMerge w:val="continue"/>
            <w:vAlign w:val="center"/>
          </w:tcPr>
          <w:p>
            <w:pPr>
              <w:pStyle w:val="140"/>
              <w:spacing w:line="240" w:lineRule="exact"/>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restart"/>
            <w:vAlign w:val="center"/>
          </w:tcPr>
          <w:p>
            <w:pPr>
              <w:pStyle w:val="140"/>
              <w:spacing w:line="240" w:lineRule="exact"/>
            </w:pPr>
            <w:r>
              <w:rPr>
                <w:rFonts w:hint="eastAsia"/>
              </w:rPr>
              <w:t>固体废物</w:t>
            </w:r>
          </w:p>
        </w:tc>
        <w:tc>
          <w:tcPr>
            <w:tcW w:w="1185" w:type="dxa"/>
            <w:vAlign w:val="center"/>
          </w:tcPr>
          <w:p>
            <w:pPr>
              <w:pStyle w:val="140"/>
              <w:spacing w:line="240" w:lineRule="exact"/>
            </w:pPr>
            <w:r>
              <w:rPr>
                <w:rFonts w:hint="eastAsia"/>
              </w:rPr>
              <w:t>过滤器</w:t>
            </w:r>
          </w:p>
        </w:tc>
        <w:tc>
          <w:tcPr>
            <w:tcW w:w="1185" w:type="dxa"/>
            <w:vAlign w:val="center"/>
          </w:tcPr>
          <w:p>
            <w:pPr>
              <w:pStyle w:val="140"/>
              <w:spacing w:line="240" w:lineRule="exact"/>
            </w:pPr>
            <w:r>
              <w:rPr>
                <w:rFonts w:hint="eastAsia"/>
              </w:rPr>
              <w:t>滤渣</w:t>
            </w:r>
          </w:p>
        </w:tc>
        <w:tc>
          <w:tcPr>
            <w:tcW w:w="709" w:type="dxa"/>
            <w:vAlign w:val="center"/>
          </w:tcPr>
          <w:p>
            <w:pPr>
              <w:pStyle w:val="140"/>
              <w:spacing w:line="240" w:lineRule="exact"/>
            </w:pPr>
            <w:r>
              <w:rPr>
                <w:rFonts w:hint="eastAsia"/>
              </w:rPr>
              <w:t>S</w:t>
            </w:r>
            <w:r>
              <w:rPr>
                <w:rFonts w:hint="eastAsia"/>
                <w:vertAlign w:val="subscript"/>
              </w:rPr>
              <w:t>3-8</w:t>
            </w:r>
          </w:p>
        </w:tc>
        <w:tc>
          <w:tcPr>
            <w:tcW w:w="2642" w:type="dxa"/>
            <w:vAlign w:val="center"/>
          </w:tcPr>
          <w:p>
            <w:pPr>
              <w:pStyle w:val="140"/>
              <w:spacing w:line="240" w:lineRule="exact"/>
              <w:rPr>
                <w:szCs w:val="18"/>
              </w:rPr>
            </w:pPr>
            <w:r>
              <w:rPr>
                <w:rFonts w:hint="eastAsia"/>
                <w:szCs w:val="18"/>
              </w:rPr>
              <w:t>废液量：12t/a</w:t>
            </w:r>
          </w:p>
          <w:p>
            <w:pPr>
              <w:pStyle w:val="140"/>
              <w:spacing w:line="240" w:lineRule="exact"/>
              <w:rPr>
                <w:szCs w:val="18"/>
              </w:rPr>
            </w:pPr>
            <w:r>
              <w:rPr>
                <w:rFonts w:hint="eastAsia"/>
              </w:rPr>
              <w:t>锌32%、氯化锌65%、杂质3%</w:t>
            </w:r>
          </w:p>
        </w:tc>
        <w:tc>
          <w:tcPr>
            <w:tcW w:w="992" w:type="dxa"/>
            <w:vAlign w:val="center"/>
          </w:tcPr>
          <w:p>
            <w:pPr>
              <w:pStyle w:val="140"/>
              <w:spacing w:line="240" w:lineRule="exact"/>
            </w:pPr>
            <w:r>
              <w:rPr>
                <w:rFonts w:hint="eastAsia"/>
              </w:rPr>
              <w:t>-</w:t>
            </w:r>
          </w:p>
        </w:tc>
        <w:tc>
          <w:tcPr>
            <w:tcW w:w="1277" w:type="dxa"/>
            <w:vAlign w:val="center"/>
          </w:tcPr>
          <w:p>
            <w:pPr>
              <w:pStyle w:val="140"/>
              <w:spacing w:line="240" w:lineRule="exact"/>
            </w:pPr>
            <w:r>
              <w:rPr>
                <w:rFonts w:hint="eastAsia"/>
              </w:rPr>
              <w:t>外委有资质的单位处理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40" w:lineRule="exact"/>
            </w:pPr>
          </w:p>
        </w:tc>
        <w:tc>
          <w:tcPr>
            <w:tcW w:w="1185" w:type="dxa"/>
            <w:vAlign w:val="center"/>
          </w:tcPr>
          <w:p>
            <w:pPr>
              <w:pStyle w:val="140"/>
              <w:spacing w:line="240" w:lineRule="exact"/>
            </w:pPr>
            <w:r>
              <w:rPr>
                <w:rFonts w:hint="eastAsia"/>
              </w:rPr>
              <w:t>DMF精馏塔</w:t>
            </w:r>
          </w:p>
        </w:tc>
        <w:tc>
          <w:tcPr>
            <w:tcW w:w="1185" w:type="dxa"/>
            <w:vAlign w:val="center"/>
          </w:tcPr>
          <w:p>
            <w:pPr>
              <w:pStyle w:val="140"/>
              <w:spacing w:line="240" w:lineRule="exact"/>
            </w:pPr>
            <w:r>
              <w:rPr>
                <w:rFonts w:hint="eastAsia"/>
              </w:rPr>
              <w:t>精馏残液</w:t>
            </w:r>
          </w:p>
        </w:tc>
        <w:tc>
          <w:tcPr>
            <w:tcW w:w="709" w:type="dxa"/>
            <w:vAlign w:val="center"/>
          </w:tcPr>
          <w:p>
            <w:pPr>
              <w:pStyle w:val="140"/>
              <w:spacing w:line="240" w:lineRule="exact"/>
            </w:pPr>
            <w:r>
              <w:rPr>
                <w:rFonts w:hint="eastAsia"/>
              </w:rPr>
              <w:t>S</w:t>
            </w:r>
            <w:r>
              <w:rPr>
                <w:rFonts w:hint="eastAsia"/>
                <w:vertAlign w:val="subscript"/>
              </w:rPr>
              <w:t>3-9</w:t>
            </w:r>
          </w:p>
        </w:tc>
        <w:tc>
          <w:tcPr>
            <w:tcW w:w="2642" w:type="dxa"/>
            <w:vAlign w:val="center"/>
          </w:tcPr>
          <w:p>
            <w:pPr>
              <w:pStyle w:val="140"/>
              <w:spacing w:line="240" w:lineRule="exact"/>
              <w:rPr>
                <w:color w:val="0000FF"/>
                <w:szCs w:val="18"/>
              </w:rPr>
            </w:pPr>
            <w:r>
              <w:rPr>
                <w:rFonts w:hint="eastAsia"/>
                <w:color w:val="0000FF"/>
                <w:szCs w:val="18"/>
              </w:rPr>
              <w:t>废液量：</w:t>
            </w:r>
            <w:r>
              <w:rPr>
                <w:color w:val="0000FF"/>
                <w:szCs w:val="18"/>
              </w:rPr>
              <w:t>3.1</w:t>
            </w:r>
            <w:r>
              <w:rPr>
                <w:rFonts w:hint="eastAsia"/>
                <w:color w:val="0000FF"/>
                <w:szCs w:val="18"/>
              </w:rPr>
              <w:t>t/a</w:t>
            </w:r>
          </w:p>
          <w:p>
            <w:pPr>
              <w:pStyle w:val="140"/>
              <w:spacing w:line="240" w:lineRule="exact"/>
            </w:pPr>
            <w:r>
              <w:rPr>
                <w:rFonts w:hint="eastAsia"/>
              </w:rPr>
              <w:t>锌5%、DMF90%、杂质5%</w:t>
            </w:r>
          </w:p>
        </w:tc>
        <w:tc>
          <w:tcPr>
            <w:tcW w:w="992" w:type="dxa"/>
            <w:vAlign w:val="center"/>
          </w:tcPr>
          <w:p>
            <w:pPr>
              <w:pStyle w:val="140"/>
              <w:spacing w:line="240" w:lineRule="exact"/>
            </w:pPr>
            <w:r>
              <w:rPr>
                <w:rFonts w:hint="eastAsia"/>
              </w:rPr>
              <w:t>-</w:t>
            </w:r>
          </w:p>
        </w:tc>
        <w:tc>
          <w:tcPr>
            <w:tcW w:w="1277" w:type="dxa"/>
            <w:vAlign w:val="center"/>
          </w:tcPr>
          <w:p>
            <w:pPr>
              <w:pStyle w:val="140"/>
              <w:spacing w:line="240" w:lineRule="exact"/>
            </w:pPr>
            <w:r>
              <w:rPr>
                <w:rFonts w:hint="eastAsia"/>
              </w:rPr>
              <w:t>厂区等离子焚烧炉焚烧处置</w:t>
            </w:r>
          </w:p>
        </w:tc>
      </w:tr>
    </w:tbl>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2.4</w:t>
      </w:r>
      <w:r>
        <w:rPr>
          <w:rFonts w:hint="eastAsia" w:ascii="Times New Roman" w:hAnsi="Times New Roman" w:eastAsia="宋体" w:cs="Times New Roman"/>
          <w:kern w:val="2"/>
          <w:sz w:val="24"/>
          <w:szCs w:val="24"/>
          <w:lang w:val="en-US" w:eastAsia="zh-CN" w:bidi="ar-SA"/>
        </w:rPr>
        <w:t>.4  质检楼工艺流程及产污节点</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新增居里点热裂解仪、旋转蒸发仪、凝胶色谱等检测仪器，计划利用现有旧实验室布置。考虑到各检测仪器对实验室装修环境有一定要求，现有实验室仅为办公条件，无相关给排水配电系统，无法满足元素分析的实验需要。</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质检楼主要用途为对样品进行预处理，并对其成分、性能等进行检测工作。实验室总体流程概述如下：首先拟定方案，按照方案组织实施，依据方案进行对样品进行检测。样品交接后对样品进行预处理及保存，开展实验分析，根据实验结果进行分析，接着进行质量控制，最后进行结果分析、反馈。</w:t>
      </w:r>
    </w:p>
    <w:p>
      <w:pPr>
        <w:spacing w:line="500" w:lineRule="exact"/>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营运期实验室总体运行和产污分析图见图1-5。</w:t>
      </w:r>
    </w:p>
    <w:p>
      <w:pPr>
        <w:spacing w:line="240" w:lineRule="auto"/>
        <w:ind w:firstLine="0" w:firstLineChars="0"/>
        <w:jc w:val="center"/>
        <w:rPr>
          <w:rFonts w:eastAsia="黑体"/>
          <w:bCs/>
          <w:sz w:val="24"/>
        </w:rPr>
      </w:pPr>
      <w:r>
        <w:object>
          <v:shape id="_x0000_i1037" o:spt="75" type="#_x0000_t75" style="height:62.5pt;width:414pt;" o:ole="t" filled="f" o:preferrelative="t" stroked="f" coordsize="21600,21600">
            <v:path/>
            <v:fill on="f" focussize="0,0"/>
            <v:stroke on="f" joinstyle="miter"/>
            <v:imagedata r:id="rId44" o:title=""/>
            <o:lock v:ext="edit" aspectratio="t"/>
            <w10:wrap type="none"/>
            <w10:anchorlock/>
          </v:shape>
          <o:OLEObject Type="Embed" ProgID="Visio.Drawing.11" ShapeID="_x0000_i1037" DrawAspect="Content" ObjectID="_1468075737" r:id="rId43">
            <o:LockedField>false</o:LockedField>
          </o:OLEObject>
        </w:object>
      </w:r>
    </w:p>
    <w:p>
      <w:pPr>
        <w:pStyle w:val="146"/>
        <w:spacing w:before="31"/>
      </w:pPr>
      <w:r>
        <w:rPr>
          <w:rFonts w:hint="eastAsia"/>
        </w:rPr>
        <w:t>图</w:t>
      </w:r>
      <w:r>
        <w:rPr>
          <w:rFonts w:hint="eastAsia"/>
          <w:lang w:val="en-US" w:eastAsia="zh-CN"/>
        </w:rPr>
        <w:t>2.4</w:t>
      </w:r>
      <w:r>
        <w:t>.4-1</w:t>
      </w:r>
      <w:r>
        <w:rPr>
          <w:rFonts w:hint="eastAsia"/>
        </w:rPr>
        <w:t xml:space="preserve"> </w:t>
      </w:r>
      <w:r>
        <w:t xml:space="preserve">    </w:t>
      </w:r>
      <w:r>
        <w:rPr>
          <w:rFonts w:hint="eastAsia"/>
        </w:rPr>
        <w:t>项目实验室总体运行和产污分析图</w:t>
      </w:r>
    </w:p>
    <w:p>
      <w:pPr>
        <w:ind w:firstLine="560"/>
        <w:rPr>
          <w:szCs w:val="28"/>
        </w:rPr>
      </w:pPr>
      <w:r>
        <w:rPr>
          <w:rFonts w:hint="eastAsia" w:ascii="Times New Roman" w:hAnsi="Times New Roman" w:eastAsia="宋体" w:cs="Times New Roman"/>
          <w:kern w:val="2"/>
          <w:sz w:val="24"/>
          <w:szCs w:val="24"/>
          <w:lang w:val="en-US" w:eastAsia="zh-CN" w:bidi="ar-SA"/>
        </w:rPr>
        <w:t>项目实验室主要仪器及其功能及与技改前的污染物产生情况对比如下。</w:t>
      </w:r>
    </w:p>
    <w:p>
      <w:pPr>
        <w:pStyle w:val="146"/>
        <w:spacing w:before="31"/>
      </w:pPr>
      <w:r>
        <w:rPr>
          <w:rFonts w:hint="eastAsia"/>
        </w:rPr>
        <w:t>表</w:t>
      </w:r>
      <w:r>
        <w:rPr>
          <w:rFonts w:hint="eastAsia"/>
          <w:lang w:val="en-US" w:eastAsia="zh-CN"/>
        </w:rPr>
        <w:t>2.4</w:t>
      </w:r>
      <w:r>
        <w:t>.4-1</w:t>
      </w:r>
      <w:r>
        <w:rPr>
          <w:rFonts w:hint="eastAsia"/>
        </w:rPr>
        <w:t xml:space="preserve">    项目实验室设备及污染物产生情况表</w:t>
      </w:r>
    </w:p>
    <w:tbl>
      <w:tblPr>
        <w:tblStyle w:val="43"/>
        <w:tblW w:w="87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306"/>
        <w:gridCol w:w="2694"/>
        <w:gridCol w:w="25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仪器名称</w:t>
            </w:r>
          </w:p>
        </w:tc>
        <w:tc>
          <w:tcPr>
            <w:tcW w:w="2306" w:type="dxa"/>
            <w:vAlign w:val="center"/>
          </w:tcPr>
          <w:p>
            <w:pPr>
              <w:pStyle w:val="140"/>
              <w:rPr>
                <w:szCs w:val="18"/>
              </w:rPr>
            </w:pPr>
            <w:r>
              <w:rPr>
                <w:rFonts w:hint="eastAsia"/>
                <w:szCs w:val="18"/>
              </w:rPr>
              <w:t>功能简介</w:t>
            </w:r>
          </w:p>
        </w:tc>
        <w:tc>
          <w:tcPr>
            <w:tcW w:w="2694" w:type="dxa"/>
            <w:vAlign w:val="center"/>
          </w:tcPr>
          <w:p>
            <w:pPr>
              <w:pStyle w:val="140"/>
              <w:rPr>
                <w:szCs w:val="18"/>
              </w:rPr>
            </w:pPr>
            <w:r>
              <w:rPr>
                <w:rFonts w:hint="eastAsia"/>
                <w:szCs w:val="18"/>
              </w:rPr>
              <w:t>污染物产生情况</w:t>
            </w:r>
          </w:p>
        </w:tc>
        <w:tc>
          <w:tcPr>
            <w:tcW w:w="2551" w:type="dxa"/>
            <w:vAlign w:val="center"/>
          </w:tcPr>
          <w:p>
            <w:pPr>
              <w:pStyle w:val="140"/>
              <w:rPr>
                <w:szCs w:val="18"/>
              </w:rPr>
            </w:pPr>
            <w:r>
              <w:rPr>
                <w:rFonts w:hint="eastAsia"/>
                <w:szCs w:val="18"/>
              </w:rPr>
              <w:t>与技改前比较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居里点热裂解仪</w:t>
            </w:r>
          </w:p>
        </w:tc>
        <w:tc>
          <w:tcPr>
            <w:tcW w:w="2306" w:type="dxa"/>
            <w:vAlign w:val="center"/>
          </w:tcPr>
          <w:p>
            <w:pPr>
              <w:pStyle w:val="140"/>
              <w:rPr>
                <w:szCs w:val="18"/>
              </w:rPr>
            </w:pPr>
            <w:r>
              <w:rPr>
                <w:szCs w:val="18"/>
              </w:rPr>
              <w:t>检测需要取少量样品至石英管中</w:t>
            </w:r>
            <w:r>
              <w:rPr>
                <w:rFonts w:hint="eastAsia"/>
                <w:szCs w:val="18"/>
              </w:rPr>
              <w:t>，</w:t>
            </w:r>
            <w:r>
              <w:rPr>
                <w:szCs w:val="18"/>
              </w:rPr>
              <w:t>经高温</w:t>
            </w:r>
            <w:r>
              <w:rPr>
                <w:rFonts w:hint="eastAsia"/>
                <w:szCs w:val="18"/>
              </w:rPr>
              <w:t>50-1000℃检测样品热性能。</w:t>
            </w:r>
          </w:p>
        </w:tc>
        <w:tc>
          <w:tcPr>
            <w:tcW w:w="2694" w:type="dxa"/>
            <w:vAlign w:val="center"/>
          </w:tcPr>
          <w:p>
            <w:pPr>
              <w:pStyle w:val="140"/>
              <w:rPr>
                <w:szCs w:val="18"/>
              </w:rPr>
            </w:pPr>
            <w:r>
              <w:rPr>
                <w:rFonts w:hint="eastAsia"/>
                <w:szCs w:val="18"/>
              </w:rPr>
              <w:t>样品受热后产生的挥发性气体、未挥发残留物和样品余样；</w:t>
            </w:r>
            <w:r>
              <w:rPr>
                <w:szCs w:val="18"/>
              </w:rPr>
              <w:t>该仪器</w:t>
            </w:r>
            <w:r>
              <w:rPr>
                <w:rFonts w:hint="eastAsia"/>
                <w:szCs w:val="18"/>
              </w:rPr>
              <w:t>挥发性气体</w:t>
            </w:r>
            <w:r>
              <w:rPr>
                <w:szCs w:val="18"/>
              </w:rPr>
              <w:t>经气体导管</w:t>
            </w:r>
            <w:r>
              <w:rPr>
                <w:rFonts w:hint="eastAsia"/>
                <w:szCs w:val="18"/>
              </w:rPr>
              <w:t>导出，未挥发残留物集中处理，样品余样返回送样单位。</w:t>
            </w:r>
          </w:p>
        </w:tc>
        <w:tc>
          <w:tcPr>
            <w:tcW w:w="2551" w:type="dxa"/>
            <w:vAlign w:val="center"/>
          </w:tcPr>
          <w:p>
            <w:pPr>
              <w:pStyle w:val="140"/>
              <w:rPr>
                <w:szCs w:val="18"/>
              </w:rPr>
            </w:pPr>
            <w:r>
              <w:rPr>
                <w:rFonts w:hint="eastAsia"/>
                <w:szCs w:val="18"/>
              </w:rPr>
              <w:t>新增仪器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szCs w:val="18"/>
              </w:rPr>
              <w:t>差示扫描量热仪</w:t>
            </w:r>
            <w:r>
              <w:rPr>
                <w:rFonts w:hint="eastAsia"/>
                <w:szCs w:val="18"/>
              </w:rPr>
              <w:t>（DSC）</w:t>
            </w:r>
          </w:p>
        </w:tc>
        <w:tc>
          <w:tcPr>
            <w:tcW w:w="2306" w:type="dxa"/>
            <w:vAlign w:val="center"/>
          </w:tcPr>
          <w:p>
            <w:pPr>
              <w:pStyle w:val="140"/>
              <w:rPr>
                <w:szCs w:val="18"/>
              </w:rPr>
            </w:pPr>
            <w:r>
              <w:rPr>
                <w:szCs w:val="18"/>
              </w:rPr>
              <w:t>检测需要取少量样品至坩埚中</w:t>
            </w:r>
            <w:r>
              <w:rPr>
                <w:rFonts w:hint="eastAsia"/>
                <w:szCs w:val="18"/>
              </w:rPr>
              <w:t>，</w:t>
            </w:r>
            <w:r>
              <w:rPr>
                <w:szCs w:val="18"/>
              </w:rPr>
              <w:t>经高低温-170-725</w:t>
            </w:r>
            <w:r>
              <w:rPr>
                <w:rFonts w:hint="eastAsia"/>
                <w:szCs w:val="18"/>
              </w:rPr>
              <w:t>℃检测样品热性能</w:t>
            </w:r>
          </w:p>
        </w:tc>
        <w:tc>
          <w:tcPr>
            <w:tcW w:w="2694" w:type="dxa"/>
            <w:vAlign w:val="center"/>
          </w:tcPr>
          <w:p>
            <w:pPr>
              <w:pStyle w:val="140"/>
              <w:rPr>
                <w:szCs w:val="18"/>
              </w:rPr>
            </w:pPr>
            <w:r>
              <w:rPr>
                <w:rFonts w:hint="eastAsia"/>
                <w:szCs w:val="18"/>
              </w:rPr>
              <w:t>样品受热后产生的挥发性气体、未挥发残留物和样品余样均属于污染物。</w:t>
            </w:r>
          </w:p>
        </w:tc>
        <w:tc>
          <w:tcPr>
            <w:tcW w:w="2551" w:type="dxa"/>
            <w:vAlign w:val="center"/>
          </w:tcPr>
          <w:p>
            <w:pPr>
              <w:pStyle w:val="140"/>
              <w:rPr>
                <w:szCs w:val="18"/>
              </w:rPr>
            </w:pPr>
            <w:r>
              <w:rPr>
                <w:szCs w:val="18"/>
              </w:rPr>
              <w:t>新型</w:t>
            </w:r>
            <w:r>
              <w:rPr>
                <w:rFonts w:hint="eastAsia"/>
                <w:szCs w:val="18"/>
              </w:rPr>
              <w:t>DSC炉体更小，样品用量更少，受热温度更高，因此检测样品残留和检测样品挥发物均较技改前更少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204" w:type="dxa"/>
            <w:vAlign w:val="center"/>
          </w:tcPr>
          <w:p>
            <w:pPr>
              <w:pStyle w:val="140"/>
              <w:rPr>
                <w:szCs w:val="18"/>
              </w:rPr>
            </w:pPr>
            <w:r>
              <w:rPr>
                <w:rFonts w:hint="eastAsia"/>
                <w:szCs w:val="18"/>
              </w:rPr>
              <w:t>精密双辊炼胶机</w:t>
            </w:r>
          </w:p>
        </w:tc>
        <w:tc>
          <w:tcPr>
            <w:tcW w:w="2306" w:type="dxa"/>
            <w:vAlign w:val="center"/>
          </w:tcPr>
          <w:p>
            <w:pPr>
              <w:pStyle w:val="140"/>
              <w:rPr>
                <w:szCs w:val="18"/>
              </w:rPr>
            </w:pPr>
            <w:r>
              <w:rPr>
                <w:rFonts w:hint="eastAsia"/>
                <w:szCs w:val="18"/>
              </w:rPr>
              <w:t>该仪器需定量加入橡胶和辅料塑炼。</w:t>
            </w:r>
          </w:p>
        </w:tc>
        <w:tc>
          <w:tcPr>
            <w:tcW w:w="2694" w:type="dxa"/>
            <w:vAlign w:val="center"/>
          </w:tcPr>
          <w:p>
            <w:pPr>
              <w:pStyle w:val="140"/>
              <w:rPr>
                <w:szCs w:val="18"/>
              </w:rPr>
            </w:pPr>
            <w:r>
              <w:rPr>
                <w:rFonts w:hint="eastAsia"/>
                <w:szCs w:val="18"/>
              </w:rPr>
              <w:t>塑炼过程有样品边角料的产生。</w:t>
            </w:r>
          </w:p>
        </w:tc>
        <w:tc>
          <w:tcPr>
            <w:tcW w:w="2551" w:type="dxa"/>
            <w:vAlign w:val="center"/>
          </w:tcPr>
          <w:p>
            <w:pPr>
              <w:pStyle w:val="140"/>
              <w:rPr>
                <w:szCs w:val="18"/>
              </w:rPr>
            </w:pPr>
            <w:r>
              <w:rPr>
                <w:rFonts w:hint="eastAsia"/>
                <w:szCs w:val="18"/>
              </w:rPr>
              <w:t>精密双辊炼胶机比普通炼胶机密封性更佳，样品加入量更小，产生的边角料更少。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实验室压片机</w:t>
            </w:r>
          </w:p>
        </w:tc>
        <w:tc>
          <w:tcPr>
            <w:tcW w:w="2306" w:type="dxa"/>
            <w:vAlign w:val="center"/>
          </w:tcPr>
          <w:p>
            <w:pPr>
              <w:pStyle w:val="140"/>
              <w:rPr>
                <w:szCs w:val="18"/>
              </w:rPr>
            </w:pPr>
            <w:r>
              <w:rPr>
                <w:rFonts w:hint="eastAsia"/>
                <w:szCs w:val="18"/>
              </w:rPr>
              <w:t>该仪器示将样品在高温下模压。</w:t>
            </w:r>
          </w:p>
        </w:tc>
        <w:tc>
          <w:tcPr>
            <w:tcW w:w="2694" w:type="dxa"/>
            <w:vAlign w:val="center"/>
          </w:tcPr>
          <w:p>
            <w:pPr>
              <w:pStyle w:val="140"/>
              <w:rPr>
                <w:szCs w:val="18"/>
              </w:rPr>
            </w:pPr>
            <w:r>
              <w:rPr>
                <w:rFonts w:hint="eastAsia"/>
                <w:szCs w:val="18"/>
              </w:rPr>
              <w:t>样品边角料</w:t>
            </w:r>
          </w:p>
        </w:tc>
        <w:tc>
          <w:tcPr>
            <w:tcW w:w="2551" w:type="dxa"/>
            <w:vAlign w:val="center"/>
          </w:tcPr>
          <w:p>
            <w:pPr>
              <w:pStyle w:val="140"/>
              <w:rPr>
                <w:szCs w:val="18"/>
              </w:rPr>
            </w:pPr>
            <w:r>
              <w:rPr>
                <w:rFonts w:hint="eastAsia"/>
                <w:szCs w:val="18"/>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旋转蒸发仪</w:t>
            </w:r>
          </w:p>
        </w:tc>
        <w:tc>
          <w:tcPr>
            <w:tcW w:w="2306" w:type="dxa"/>
            <w:vAlign w:val="center"/>
          </w:tcPr>
          <w:p>
            <w:pPr>
              <w:pStyle w:val="140"/>
              <w:rPr>
                <w:szCs w:val="18"/>
              </w:rPr>
            </w:pPr>
            <w:r>
              <w:rPr>
                <w:rFonts w:hint="eastAsia"/>
                <w:szCs w:val="18"/>
              </w:rPr>
              <w:t>用于样品浓缩、结晶和干燥。</w:t>
            </w:r>
          </w:p>
        </w:tc>
        <w:tc>
          <w:tcPr>
            <w:tcW w:w="2694" w:type="dxa"/>
            <w:vAlign w:val="center"/>
          </w:tcPr>
          <w:p>
            <w:pPr>
              <w:pStyle w:val="140"/>
              <w:rPr>
                <w:szCs w:val="18"/>
              </w:rPr>
            </w:pPr>
            <w:r>
              <w:rPr>
                <w:rFonts w:hint="eastAsia"/>
                <w:szCs w:val="18"/>
              </w:rPr>
              <w:t>在20-180℃下，样品中的溶剂、水分、低沸点物质会受热挥发，由此产生挥发气体。</w:t>
            </w:r>
          </w:p>
        </w:tc>
        <w:tc>
          <w:tcPr>
            <w:tcW w:w="2551" w:type="dxa"/>
            <w:vAlign w:val="center"/>
          </w:tcPr>
          <w:p>
            <w:pPr>
              <w:pStyle w:val="140"/>
              <w:rPr>
                <w:szCs w:val="18"/>
              </w:rPr>
            </w:pPr>
            <w:r>
              <w:rPr>
                <w:rFonts w:hint="eastAsia"/>
                <w:szCs w:val="18"/>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凝胶渗透色谱仪（GPC）</w:t>
            </w:r>
          </w:p>
        </w:tc>
        <w:tc>
          <w:tcPr>
            <w:tcW w:w="2306" w:type="dxa"/>
            <w:vAlign w:val="center"/>
          </w:tcPr>
          <w:p>
            <w:pPr>
              <w:pStyle w:val="140"/>
              <w:rPr>
                <w:szCs w:val="18"/>
              </w:rPr>
            </w:pPr>
            <w:r>
              <w:rPr>
                <w:rFonts w:hint="eastAsia"/>
                <w:szCs w:val="18"/>
              </w:rPr>
              <w:t>用于分子量测试，流程为：取一定量</w:t>
            </w:r>
            <w:r>
              <w:rPr>
                <w:szCs w:val="18"/>
              </w:rPr>
              <w:t>样品溶解于溶剂中</w:t>
            </w:r>
            <w:r>
              <w:rPr>
                <w:rFonts w:hint="eastAsia"/>
                <w:szCs w:val="18"/>
              </w:rPr>
              <w:t>，</w:t>
            </w:r>
            <w:r>
              <w:rPr>
                <w:szCs w:val="18"/>
              </w:rPr>
              <w:t>以针入方式进入</w:t>
            </w:r>
            <w:r>
              <w:rPr>
                <w:rFonts w:hint="eastAsia"/>
                <w:szCs w:val="18"/>
              </w:rPr>
              <w:t>GPC，</w:t>
            </w:r>
            <w:r>
              <w:rPr>
                <w:szCs w:val="18"/>
              </w:rPr>
              <w:t>多采用四氢呋喃或</w:t>
            </w:r>
            <w:r>
              <w:rPr>
                <w:rFonts w:hint="eastAsia"/>
                <w:szCs w:val="18"/>
              </w:rPr>
              <w:t>DMF溶液为流动相检测样品。</w:t>
            </w:r>
          </w:p>
        </w:tc>
        <w:tc>
          <w:tcPr>
            <w:tcW w:w="2694" w:type="dxa"/>
            <w:vAlign w:val="center"/>
          </w:tcPr>
          <w:p>
            <w:pPr>
              <w:pStyle w:val="140"/>
              <w:rPr>
                <w:szCs w:val="18"/>
              </w:rPr>
            </w:pPr>
            <w:r>
              <w:rPr>
                <w:rFonts w:hint="eastAsia"/>
                <w:szCs w:val="18"/>
              </w:rPr>
              <w:t>余样残留，</w:t>
            </w:r>
            <w:r>
              <w:rPr>
                <w:szCs w:val="18"/>
              </w:rPr>
              <w:t>四氢呋喃或</w:t>
            </w:r>
            <w:r>
              <w:rPr>
                <w:rFonts w:hint="eastAsia"/>
                <w:szCs w:val="18"/>
              </w:rPr>
              <w:t>DMF溶剂废液</w:t>
            </w:r>
          </w:p>
        </w:tc>
        <w:tc>
          <w:tcPr>
            <w:tcW w:w="2551" w:type="dxa"/>
            <w:vAlign w:val="center"/>
          </w:tcPr>
          <w:p>
            <w:pPr>
              <w:pStyle w:val="140"/>
              <w:rPr>
                <w:szCs w:val="18"/>
              </w:rPr>
            </w:pPr>
            <w:r>
              <w:rPr>
                <w:rFonts w:hint="eastAsia"/>
                <w:szCs w:val="18"/>
              </w:rPr>
              <w:t>GPC测试时间更短，产生的流动相废液更少。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04" w:type="dxa"/>
            <w:vAlign w:val="center"/>
          </w:tcPr>
          <w:p>
            <w:pPr>
              <w:pStyle w:val="140"/>
              <w:rPr>
                <w:szCs w:val="18"/>
              </w:rPr>
            </w:pPr>
            <w:r>
              <w:rPr>
                <w:rFonts w:hint="eastAsia"/>
                <w:szCs w:val="18"/>
              </w:rPr>
              <w:t>液相色谱质谱联用仪（</w:t>
            </w:r>
            <w:r>
              <w:rPr>
                <w:szCs w:val="18"/>
              </w:rPr>
              <w:t>LC-MS</w:t>
            </w:r>
            <w:r>
              <w:rPr>
                <w:rFonts w:hint="eastAsia"/>
                <w:szCs w:val="18"/>
              </w:rPr>
              <w:t>）</w:t>
            </w:r>
          </w:p>
        </w:tc>
        <w:tc>
          <w:tcPr>
            <w:tcW w:w="2306" w:type="dxa"/>
            <w:vAlign w:val="center"/>
          </w:tcPr>
          <w:p>
            <w:pPr>
              <w:pStyle w:val="140"/>
              <w:rPr>
                <w:szCs w:val="18"/>
              </w:rPr>
            </w:pPr>
            <w:r>
              <w:rPr>
                <w:szCs w:val="18"/>
              </w:rPr>
              <w:t>LC-MS检测需用乙腈</w:t>
            </w:r>
            <w:r>
              <w:rPr>
                <w:rFonts w:hint="eastAsia"/>
                <w:szCs w:val="18"/>
              </w:rPr>
              <w:t>/甲醇/丙酮等溶剂将样品稀释至</w:t>
            </w:r>
            <w:r>
              <w:rPr>
                <w:szCs w:val="18"/>
              </w:rPr>
              <w:t>1</w:t>
            </w:r>
            <w:r>
              <w:rPr>
                <w:rFonts w:hint="eastAsia"/>
                <w:szCs w:val="18"/>
              </w:rPr>
              <w:t>ppm以下浓度，并采用相应</w:t>
            </w:r>
            <w:r>
              <w:rPr>
                <w:szCs w:val="18"/>
              </w:rPr>
              <w:t>溶剂的</w:t>
            </w:r>
            <w:r>
              <w:rPr>
                <w:rFonts w:hint="eastAsia"/>
                <w:szCs w:val="18"/>
              </w:rPr>
              <w:t>水溶液为流动相进行分析。</w:t>
            </w:r>
          </w:p>
        </w:tc>
        <w:tc>
          <w:tcPr>
            <w:tcW w:w="2694" w:type="dxa"/>
            <w:vAlign w:val="center"/>
          </w:tcPr>
          <w:p>
            <w:pPr>
              <w:pStyle w:val="140"/>
              <w:rPr>
                <w:szCs w:val="18"/>
              </w:rPr>
            </w:pPr>
            <w:r>
              <w:rPr>
                <w:rFonts w:hint="eastAsia"/>
                <w:szCs w:val="18"/>
              </w:rPr>
              <w:t>污染物：余样残留，甲醇、丙酮、乙腈等溶剂废液</w:t>
            </w:r>
          </w:p>
          <w:p>
            <w:pPr>
              <w:pStyle w:val="140"/>
              <w:rPr>
                <w:szCs w:val="18"/>
              </w:rPr>
            </w:pPr>
          </w:p>
        </w:tc>
        <w:tc>
          <w:tcPr>
            <w:tcW w:w="2551" w:type="dxa"/>
            <w:vAlign w:val="center"/>
          </w:tcPr>
          <w:p>
            <w:pPr>
              <w:pStyle w:val="140"/>
              <w:rPr>
                <w:szCs w:val="18"/>
              </w:rPr>
            </w:pPr>
            <w:r>
              <w:rPr>
                <w:szCs w:val="18"/>
              </w:rPr>
              <w:t>LC-MS样品浓度更小</w:t>
            </w:r>
            <w:r>
              <w:rPr>
                <w:rFonts w:hint="eastAsia"/>
                <w:szCs w:val="18"/>
              </w:rPr>
              <w:t>，</w:t>
            </w:r>
            <w:r>
              <w:rPr>
                <w:szCs w:val="18"/>
              </w:rPr>
              <w:t>废液中样品浓度微小</w:t>
            </w:r>
            <w:r>
              <w:rPr>
                <w:rFonts w:hint="eastAsia"/>
                <w:szCs w:val="18"/>
              </w:rPr>
              <w:t>，</w:t>
            </w:r>
            <w:r>
              <w:rPr>
                <w:szCs w:val="18"/>
              </w:rPr>
              <w:t>更易于回收</w:t>
            </w:r>
            <w:r>
              <w:rPr>
                <w:rFonts w:hint="eastAsia"/>
                <w:szCs w:val="18"/>
              </w:rPr>
              <w:t>或</w:t>
            </w:r>
            <w:r>
              <w:rPr>
                <w:szCs w:val="18"/>
              </w:rPr>
              <w:t>处理</w:t>
            </w:r>
            <w:r>
              <w:rPr>
                <w:rFonts w:hint="eastAsia"/>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szCs w:val="18"/>
              </w:rPr>
              <w:t>气相色谱质谱联用仪</w:t>
            </w:r>
            <w:r>
              <w:rPr>
                <w:rFonts w:hint="eastAsia"/>
                <w:szCs w:val="18"/>
              </w:rPr>
              <w:t>（</w:t>
            </w:r>
            <w:r>
              <w:rPr>
                <w:szCs w:val="18"/>
              </w:rPr>
              <w:t>GC-MS</w:t>
            </w:r>
            <w:r>
              <w:rPr>
                <w:rFonts w:hint="eastAsia"/>
                <w:szCs w:val="18"/>
              </w:rPr>
              <w:t>）</w:t>
            </w:r>
          </w:p>
          <w:p>
            <w:pPr>
              <w:pStyle w:val="140"/>
              <w:rPr>
                <w:szCs w:val="18"/>
              </w:rPr>
            </w:pPr>
          </w:p>
        </w:tc>
        <w:tc>
          <w:tcPr>
            <w:tcW w:w="2306" w:type="dxa"/>
            <w:vAlign w:val="center"/>
          </w:tcPr>
          <w:p>
            <w:pPr>
              <w:pStyle w:val="140"/>
              <w:rPr>
                <w:szCs w:val="18"/>
              </w:rPr>
            </w:pPr>
            <w:r>
              <w:rPr>
                <w:szCs w:val="18"/>
              </w:rPr>
              <w:t>GC可检测气相和液相样品</w:t>
            </w:r>
            <w:r>
              <w:rPr>
                <w:rFonts w:hint="eastAsia"/>
                <w:szCs w:val="18"/>
              </w:rPr>
              <w:t>。</w:t>
            </w:r>
            <w:r>
              <w:rPr>
                <w:szCs w:val="18"/>
              </w:rPr>
              <w:t>对于气相样品</w:t>
            </w:r>
            <w:r>
              <w:rPr>
                <w:rFonts w:hint="eastAsia"/>
                <w:szCs w:val="18"/>
              </w:rPr>
              <w:t>，样品经仪器系统高温可产生挥发物；对于液相样品，需要先用低沸点溶剂稀释后才能进行色谱-质谱分析。</w:t>
            </w:r>
          </w:p>
        </w:tc>
        <w:tc>
          <w:tcPr>
            <w:tcW w:w="2694" w:type="dxa"/>
            <w:vAlign w:val="center"/>
          </w:tcPr>
          <w:p>
            <w:pPr>
              <w:pStyle w:val="140"/>
              <w:rPr>
                <w:szCs w:val="18"/>
              </w:rPr>
            </w:pPr>
            <w:r>
              <w:rPr>
                <w:rFonts w:hint="eastAsia"/>
                <w:szCs w:val="18"/>
              </w:rPr>
              <w:t>污染物：检测样品余样、检测样品挥发物、溶剂挥发物（四氢呋喃、丙酮、甲醇、乙腈）。</w:t>
            </w:r>
          </w:p>
        </w:tc>
        <w:tc>
          <w:tcPr>
            <w:tcW w:w="2551" w:type="dxa"/>
            <w:vAlign w:val="center"/>
          </w:tcPr>
          <w:p>
            <w:pPr>
              <w:pStyle w:val="140"/>
              <w:rPr>
                <w:szCs w:val="18"/>
              </w:rPr>
            </w:pPr>
            <w:r>
              <w:rPr>
                <w:szCs w:val="18"/>
              </w:rPr>
              <w:t>GC-MS比GC灵敏度更高</w:t>
            </w:r>
            <w:r>
              <w:rPr>
                <w:rFonts w:hint="eastAsia"/>
                <w:szCs w:val="18"/>
              </w:rPr>
              <w:t>，</w:t>
            </w:r>
            <w:r>
              <w:rPr>
                <w:szCs w:val="18"/>
              </w:rPr>
              <w:t>进样量需求更小</w:t>
            </w:r>
            <w:r>
              <w:rPr>
                <w:rFonts w:hint="eastAsia"/>
                <w:szCs w:val="18"/>
              </w:rPr>
              <w:t>，</w:t>
            </w:r>
            <w:r>
              <w:rPr>
                <w:szCs w:val="18"/>
              </w:rPr>
              <w:t>因此产生的</w:t>
            </w:r>
            <w:r>
              <w:rPr>
                <w:rFonts w:hint="eastAsia"/>
                <w:szCs w:val="18"/>
              </w:rPr>
              <w:t>检测样品挥发物、溶剂挥发物更少。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磁共振交联密度仪</w:t>
            </w:r>
          </w:p>
        </w:tc>
        <w:tc>
          <w:tcPr>
            <w:tcW w:w="2306" w:type="dxa"/>
            <w:vAlign w:val="center"/>
          </w:tcPr>
          <w:p>
            <w:pPr>
              <w:pStyle w:val="140"/>
              <w:rPr>
                <w:szCs w:val="18"/>
              </w:rPr>
            </w:pPr>
            <w:r>
              <w:rPr>
                <w:rFonts w:hint="eastAsia"/>
                <w:szCs w:val="18"/>
              </w:rPr>
              <w:t>略</w:t>
            </w:r>
          </w:p>
        </w:tc>
        <w:tc>
          <w:tcPr>
            <w:tcW w:w="2694" w:type="dxa"/>
            <w:vAlign w:val="center"/>
          </w:tcPr>
          <w:p>
            <w:pPr>
              <w:pStyle w:val="140"/>
              <w:rPr>
                <w:szCs w:val="18"/>
              </w:rPr>
            </w:pPr>
            <w:r>
              <w:rPr>
                <w:rFonts w:hint="eastAsia"/>
                <w:szCs w:val="18"/>
              </w:rPr>
              <w:t>污染物：样品边角料</w:t>
            </w:r>
          </w:p>
        </w:tc>
        <w:tc>
          <w:tcPr>
            <w:tcW w:w="2551" w:type="dxa"/>
            <w:vAlign w:val="center"/>
          </w:tcPr>
          <w:p>
            <w:pPr>
              <w:pStyle w:val="140"/>
              <w:rPr>
                <w:szCs w:val="18"/>
              </w:rPr>
            </w:pPr>
            <w:r>
              <w:rPr>
                <w:rFonts w:hint="eastAsia"/>
                <w:szCs w:val="18"/>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vAlign w:val="center"/>
          </w:tcPr>
          <w:p>
            <w:pPr>
              <w:pStyle w:val="140"/>
              <w:rPr>
                <w:szCs w:val="18"/>
              </w:rPr>
            </w:pPr>
            <w:r>
              <w:rPr>
                <w:rFonts w:hint="eastAsia"/>
                <w:szCs w:val="18"/>
              </w:rPr>
              <w:t>气相色谱仪</w:t>
            </w:r>
          </w:p>
        </w:tc>
        <w:tc>
          <w:tcPr>
            <w:tcW w:w="2306" w:type="dxa"/>
            <w:vAlign w:val="center"/>
          </w:tcPr>
          <w:p>
            <w:pPr>
              <w:pStyle w:val="140"/>
              <w:rPr>
                <w:szCs w:val="18"/>
              </w:rPr>
            </w:pPr>
            <w:r>
              <w:rPr>
                <w:szCs w:val="18"/>
              </w:rPr>
              <w:t>GC可检测气相和液相样品</w:t>
            </w:r>
            <w:r>
              <w:rPr>
                <w:rFonts w:hint="eastAsia"/>
                <w:szCs w:val="18"/>
              </w:rPr>
              <w:t>。</w:t>
            </w:r>
            <w:r>
              <w:rPr>
                <w:szCs w:val="18"/>
              </w:rPr>
              <w:t>对于气相样品</w:t>
            </w:r>
            <w:r>
              <w:rPr>
                <w:rFonts w:hint="eastAsia"/>
                <w:szCs w:val="18"/>
              </w:rPr>
              <w:t>，样品经仪器系统高温可产生挥发物；对于液相样品，需要先用低沸点溶剂稀释后才能进行色谱分析。</w:t>
            </w:r>
          </w:p>
        </w:tc>
        <w:tc>
          <w:tcPr>
            <w:tcW w:w="2694" w:type="dxa"/>
            <w:vAlign w:val="center"/>
          </w:tcPr>
          <w:p>
            <w:pPr>
              <w:pStyle w:val="140"/>
              <w:rPr>
                <w:szCs w:val="18"/>
              </w:rPr>
            </w:pPr>
            <w:r>
              <w:rPr>
                <w:rFonts w:hint="eastAsia"/>
                <w:szCs w:val="18"/>
              </w:rPr>
              <w:t>污染物：检测样品余样、检测样品挥发物、溶剂挥发物（四氢呋喃、丙酮、甲醇、乙腈）</w:t>
            </w:r>
          </w:p>
        </w:tc>
        <w:tc>
          <w:tcPr>
            <w:tcW w:w="2551" w:type="dxa"/>
            <w:vAlign w:val="center"/>
          </w:tcPr>
          <w:p>
            <w:pPr>
              <w:pStyle w:val="140"/>
              <w:rPr>
                <w:szCs w:val="18"/>
              </w:rPr>
            </w:pPr>
            <w:r>
              <w:rPr>
                <w:rFonts w:hint="eastAsia"/>
                <w:szCs w:val="18"/>
              </w:rPr>
              <w:t>仪器分离精度更高，且具有中心切割等功能，可以做到一次进样两次色谱分析，因此进样总量减少，所产生的检测样品挥发物、溶剂挥发物均减少。</w:t>
            </w:r>
          </w:p>
        </w:tc>
      </w:tr>
    </w:tbl>
    <w:p>
      <w:pPr>
        <w:ind w:firstLine="56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项目实验室污染物产生及治理情况如下表所示。</w:t>
      </w:r>
    </w:p>
    <w:p>
      <w:pPr>
        <w:pStyle w:val="146"/>
        <w:spacing w:before="31"/>
      </w:pPr>
      <w:r>
        <w:rPr>
          <w:rFonts w:hint="eastAsia"/>
        </w:rPr>
        <w:t>表</w:t>
      </w:r>
      <w:r>
        <w:rPr>
          <w:rFonts w:hint="eastAsia"/>
          <w:lang w:val="en-US" w:eastAsia="zh-CN"/>
        </w:rPr>
        <w:t>2.4</w:t>
      </w:r>
      <w:r>
        <w:t>.4-</w:t>
      </w:r>
      <w:r>
        <w:rPr>
          <w:rFonts w:hint="eastAsia"/>
          <w:lang w:val="en-US" w:eastAsia="zh-CN"/>
        </w:rPr>
        <w:t>2</w:t>
      </w:r>
      <w:r>
        <w:rPr>
          <w:rFonts w:hint="eastAsia"/>
        </w:rPr>
        <w:t xml:space="preserve">       实验室污染物产生及治理情况表</w:t>
      </w:r>
    </w:p>
    <w:tbl>
      <w:tblPr>
        <w:tblStyle w:val="43"/>
        <w:tblW w:w="875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5"/>
        <w:gridCol w:w="1185"/>
        <w:gridCol w:w="658"/>
        <w:gridCol w:w="2126"/>
        <w:gridCol w:w="851"/>
        <w:gridCol w:w="19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spacing w:line="280" w:lineRule="exact"/>
            </w:pPr>
            <w:r>
              <w:rPr>
                <w:rFonts w:hint="eastAsia"/>
              </w:rPr>
              <w:t>污染物类型</w:t>
            </w:r>
          </w:p>
        </w:tc>
        <w:tc>
          <w:tcPr>
            <w:tcW w:w="1185" w:type="dxa"/>
            <w:vAlign w:val="center"/>
          </w:tcPr>
          <w:p>
            <w:pPr>
              <w:pStyle w:val="140"/>
              <w:spacing w:line="280" w:lineRule="exact"/>
            </w:pPr>
            <w:r>
              <w:rPr>
                <w:rFonts w:hint="eastAsia"/>
              </w:rPr>
              <w:t>装置</w:t>
            </w:r>
          </w:p>
        </w:tc>
        <w:tc>
          <w:tcPr>
            <w:tcW w:w="1185" w:type="dxa"/>
            <w:vAlign w:val="center"/>
          </w:tcPr>
          <w:p>
            <w:pPr>
              <w:pStyle w:val="140"/>
              <w:spacing w:line="280" w:lineRule="exact"/>
            </w:pPr>
            <w:r>
              <w:rPr>
                <w:rFonts w:hint="eastAsia"/>
              </w:rPr>
              <w:t>污染物名称</w:t>
            </w:r>
          </w:p>
        </w:tc>
        <w:tc>
          <w:tcPr>
            <w:tcW w:w="658" w:type="dxa"/>
            <w:vAlign w:val="center"/>
          </w:tcPr>
          <w:p>
            <w:pPr>
              <w:pStyle w:val="140"/>
              <w:spacing w:line="280" w:lineRule="exact"/>
            </w:pPr>
            <w:r>
              <w:rPr>
                <w:rFonts w:hint="eastAsia"/>
              </w:rPr>
              <w:t>代号</w:t>
            </w:r>
          </w:p>
        </w:tc>
        <w:tc>
          <w:tcPr>
            <w:tcW w:w="2126" w:type="dxa"/>
            <w:vAlign w:val="center"/>
          </w:tcPr>
          <w:p>
            <w:pPr>
              <w:pStyle w:val="140"/>
              <w:spacing w:line="280" w:lineRule="exact"/>
            </w:pPr>
            <w:r>
              <w:rPr>
                <w:rFonts w:hint="eastAsia"/>
              </w:rPr>
              <w:t>污染物源强</w:t>
            </w:r>
          </w:p>
        </w:tc>
        <w:tc>
          <w:tcPr>
            <w:tcW w:w="851" w:type="dxa"/>
            <w:vAlign w:val="center"/>
          </w:tcPr>
          <w:p>
            <w:pPr>
              <w:pStyle w:val="140"/>
              <w:spacing w:line="280" w:lineRule="exact"/>
            </w:pPr>
            <w:r>
              <w:rPr>
                <w:rFonts w:hint="eastAsia"/>
              </w:rPr>
              <w:t>排放时间（h/a）</w:t>
            </w:r>
          </w:p>
        </w:tc>
        <w:tc>
          <w:tcPr>
            <w:tcW w:w="1985" w:type="dxa"/>
            <w:vAlign w:val="center"/>
          </w:tcPr>
          <w:p>
            <w:pPr>
              <w:pStyle w:val="140"/>
              <w:spacing w:line="280" w:lineRule="exact"/>
            </w:pPr>
            <w:r>
              <w:rPr>
                <w:rFonts w:hint="eastAsia"/>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spacing w:line="280" w:lineRule="exact"/>
            </w:pPr>
            <w:r>
              <w:rPr>
                <w:rFonts w:hint="eastAsia"/>
              </w:rPr>
              <w:t>废气</w:t>
            </w:r>
          </w:p>
        </w:tc>
        <w:tc>
          <w:tcPr>
            <w:tcW w:w="1185" w:type="dxa"/>
            <w:vAlign w:val="center"/>
          </w:tcPr>
          <w:p>
            <w:pPr>
              <w:pStyle w:val="140"/>
              <w:spacing w:line="280" w:lineRule="exact"/>
            </w:pPr>
            <w:r>
              <w:rPr>
                <w:rFonts w:hint="eastAsia"/>
              </w:rPr>
              <w:t>居里点热解仪、</w:t>
            </w:r>
            <w:r>
              <w:rPr>
                <w:szCs w:val="28"/>
              </w:rPr>
              <w:t>差示扫描量热仪等</w:t>
            </w:r>
          </w:p>
        </w:tc>
        <w:tc>
          <w:tcPr>
            <w:tcW w:w="1185" w:type="dxa"/>
            <w:vAlign w:val="center"/>
          </w:tcPr>
          <w:p>
            <w:pPr>
              <w:pStyle w:val="140"/>
              <w:spacing w:line="280" w:lineRule="exact"/>
            </w:pPr>
            <w:r>
              <w:rPr>
                <w:rFonts w:hint="eastAsia"/>
              </w:rPr>
              <w:t>试验废气</w:t>
            </w:r>
          </w:p>
        </w:tc>
        <w:tc>
          <w:tcPr>
            <w:tcW w:w="658" w:type="dxa"/>
            <w:vAlign w:val="center"/>
          </w:tcPr>
          <w:p>
            <w:pPr>
              <w:pStyle w:val="140"/>
              <w:spacing w:line="280" w:lineRule="exact"/>
            </w:pPr>
            <w:r>
              <w:rPr>
                <w:rFonts w:hint="eastAsia"/>
              </w:rPr>
              <w:t>G</w:t>
            </w:r>
            <w:r>
              <w:rPr>
                <w:rFonts w:hint="eastAsia"/>
                <w:vertAlign w:val="subscript"/>
              </w:rPr>
              <w:t>5-1</w:t>
            </w:r>
          </w:p>
        </w:tc>
        <w:tc>
          <w:tcPr>
            <w:tcW w:w="2126" w:type="dxa"/>
            <w:vAlign w:val="center"/>
          </w:tcPr>
          <w:p>
            <w:pPr>
              <w:pStyle w:val="140"/>
              <w:spacing w:line="280" w:lineRule="exact"/>
              <w:rPr>
                <w:szCs w:val="18"/>
              </w:rPr>
            </w:pPr>
            <w:r>
              <w:rPr>
                <w:rFonts w:hint="eastAsia"/>
                <w:szCs w:val="18"/>
              </w:rPr>
              <w:t>废气量：3000m</w:t>
            </w:r>
            <w:r>
              <w:rPr>
                <w:rFonts w:hint="eastAsia"/>
                <w:szCs w:val="18"/>
                <w:vertAlign w:val="superscript"/>
              </w:rPr>
              <w:t>3</w:t>
            </w:r>
            <w:r>
              <w:rPr>
                <w:rFonts w:hint="eastAsia"/>
                <w:szCs w:val="18"/>
              </w:rPr>
              <w:t>/h</w:t>
            </w:r>
          </w:p>
          <w:p>
            <w:pPr>
              <w:pStyle w:val="140"/>
              <w:spacing w:line="280" w:lineRule="exact"/>
              <w:rPr>
                <w:szCs w:val="18"/>
              </w:rPr>
            </w:pPr>
            <w:r>
              <w:rPr>
                <w:rFonts w:hint="eastAsia"/>
              </w:rPr>
              <w:t xml:space="preserve">VOCs: </w:t>
            </w:r>
            <w:r>
              <w:t>3.2</w:t>
            </w:r>
            <w:r>
              <w:rPr>
                <w:rFonts w:hint="eastAsia"/>
              </w:rPr>
              <w:t>mg/m</w:t>
            </w:r>
            <w:r>
              <w:rPr>
                <w:rFonts w:hint="eastAsia"/>
                <w:vertAlign w:val="superscript"/>
              </w:rPr>
              <w:t>3</w:t>
            </w:r>
            <w:r>
              <w:rPr>
                <w:rFonts w:hint="eastAsia"/>
              </w:rPr>
              <w:t>,0.</w:t>
            </w:r>
            <w:r>
              <w:t>01</w:t>
            </w:r>
            <w:r>
              <w:rPr>
                <w:rFonts w:hint="eastAsia"/>
              </w:rPr>
              <w:t>kg/h</w:t>
            </w:r>
          </w:p>
        </w:tc>
        <w:tc>
          <w:tcPr>
            <w:tcW w:w="851" w:type="dxa"/>
            <w:vAlign w:val="center"/>
          </w:tcPr>
          <w:p>
            <w:pPr>
              <w:pStyle w:val="140"/>
              <w:spacing w:line="280" w:lineRule="exact"/>
            </w:pPr>
            <w:r>
              <w:rPr>
                <w:rFonts w:hint="eastAsia"/>
              </w:rPr>
              <w:t>720</w:t>
            </w:r>
          </w:p>
        </w:tc>
        <w:tc>
          <w:tcPr>
            <w:tcW w:w="1985" w:type="dxa"/>
            <w:vAlign w:val="center"/>
          </w:tcPr>
          <w:p>
            <w:pPr>
              <w:pStyle w:val="140"/>
              <w:spacing w:line="280" w:lineRule="exact"/>
            </w:pPr>
            <w:r>
              <w:rPr>
                <w:rFonts w:hint="eastAsia"/>
              </w:rPr>
              <w:t>经活性炭处理后达标排放，后经1根</w:t>
            </w:r>
            <w:r>
              <w:t>15</w:t>
            </w:r>
            <w:r>
              <w:rPr>
                <w:rFonts w:hint="eastAsia"/>
              </w:rPr>
              <w:t>m排气筒外排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40"/>
              <w:spacing w:line="280" w:lineRule="exact"/>
            </w:pPr>
            <w:r>
              <w:rPr>
                <w:rFonts w:hint="eastAsia"/>
              </w:rPr>
              <w:t>废水</w:t>
            </w:r>
          </w:p>
        </w:tc>
        <w:tc>
          <w:tcPr>
            <w:tcW w:w="1185" w:type="dxa"/>
            <w:vAlign w:val="center"/>
          </w:tcPr>
          <w:p>
            <w:pPr>
              <w:pStyle w:val="140"/>
              <w:spacing w:line="280" w:lineRule="exact"/>
            </w:pPr>
            <w:r>
              <w:rPr>
                <w:rFonts w:hint="eastAsia"/>
              </w:rPr>
              <w:t>实验仪器</w:t>
            </w:r>
          </w:p>
        </w:tc>
        <w:tc>
          <w:tcPr>
            <w:tcW w:w="1185" w:type="dxa"/>
            <w:vAlign w:val="center"/>
          </w:tcPr>
          <w:p>
            <w:pPr>
              <w:pStyle w:val="140"/>
              <w:spacing w:line="280" w:lineRule="exact"/>
            </w:pPr>
            <w:r>
              <w:rPr>
                <w:rFonts w:hint="eastAsia"/>
              </w:rPr>
              <w:t>实验废水</w:t>
            </w:r>
          </w:p>
        </w:tc>
        <w:tc>
          <w:tcPr>
            <w:tcW w:w="658" w:type="dxa"/>
            <w:vAlign w:val="center"/>
          </w:tcPr>
          <w:p>
            <w:pPr>
              <w:pStyle w:val="140"/>
              <w:spacing w:line="280" w:lineRule="exact"/>
            </w:pPr>
            <w:r>
              <w:rPr>
                <w:rFonts w:hint="eastAsia"/>
              </w:rPr>
              <w:t>W</w:t>
            </w:r>
            <w:r>
              <w:rPr>
                <w:rFonts w:hint="eastAsia"/>
                <w:vertAlign w:val="subscript"/>
              </w:rPr>
              <w:t>5-1</w:t>
            </w:r>
          </w:p>
        </w:tc>
        <w:tc>
          <w:tcPr>
            <w:tcW w:w="2126" w:type="dxa"/>
            <w:vAlign w:val="center"/>
          </w:tcPr>
          <w:p>
            <w:pPr>
              <w:pStyle w:val="140"/>
              <w:spacing w:line="280" w:lineRule="exact"/>
              <w:rPr>
                <w:szCs w:val="18"/>
              </w:rPr>
            </w:pPr>
            <w:r>
              <w:rPr>
                <w:rFonts w:hint="eastAsia"/>
                <w:szCs w:val="18"/>
              </w:rPr>
              <w:t>废水量：0.5t/d</w:t>
            </w:r>
          </w:p>
        </w:tc>
        <w:tc>
          <w:tcPr>
            <w:tcW w:w="851" w:type="dxa"/>
            <w:vAlign w:val="center"/>
          </w:tcPr>
          <w:p>
            <w:pPr>
              <w:pStyle w:val="140"/>
              <w:spacing w:line="280" w:lineRule="exact"/>
            </w:pPr>
            <w:r>
              <w:rPr>
                <w:rFonts w:hint="eastAsia"/>
              </w:rPr>
              <w:t>251d</w:t>
            </w:r>
          </w:p>
        </w:tc>
        <w:tc>
          <w:tcPr>
            <w:tcW w:w="1985" w:type="dxa"/>
            <w:vAlign w:val="center"/>
          </w:tcPr>
          <w:p>
            <w:pPr>
              <w:pStyle w:val="140"/>
              <w:spacing w:line="280" w:lineRule="exact"/>
            </w:pPr>
            <w:r>
              <w:rPr>
                <w:rFonts w:hint="eastAsia"/>
              </w:rPr>
              <w:t>收集后送厂区现有综合废水站处理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66" w:type="dxa"/>
            <w:vMerge w:val="restart"/>
            <w:vAlign w:val="center"/>
          </w:tcPr>
          <w:p>
            <w:pPr>
              <w:pStyle w:val="140"/>
              <w:spacing w:line="280" w:lineRule="exact"/>
            </w:pPr>
            <w:r>
              <w:rPr>
                <w:rFonts w:hint="eastAsia"/>
              </w:rPr>
              <w:t>固废</w:t>
            </w:r>
          </w:p>
        </w:tc>
        <w:tc>
          <w:tcPr>
            <w:tcW w:w="1185" w:type="dxa"/>
            <w:vAlign w:val="center"/>
          </w:tcPr>
          <w:p>
            <w:pPr>
              <w:pStyle w:val="140"/>
              <w:spacing w:line="280" w:lineRule="exact"/>
            </w:pPr>
            <w:r>
              <w:rPr>
                <w:rFonts w:hint="eastAsia"/>
              </w:rPr>
              <w:t>实验仪器</w:t>
            </w:r>
          </w:p>
        </w:tc>
        <w:tc>
          <w:tcPr>
            <w:tcW w:w="1185" w:type="dxa"/>
            <w:vAlign w:val="center"/>
          </w:tcPr>
          <w:p>
            <w:pPr>
              <w:pStyle w:val="140"/>
              <w:spacing w:line="280" w:lineRule="exact"/>
            </w:pPr>
            <w:r>
              <w:rPr>
                <w:rFonts w:hint="eastAsia"/>
              </w:rPr>
              <w:t>一般固废</w:t>
            </w:r>
          </w:p>
        </w:tc>
        <w:tc>
          <w:tcPr>
            <w:tcW w:w="658" w:type="dxa"/>
            <w:vAlign w:val="center"/>
          </w:tcPr>
          <w:p>
            <w:pPr>
              <w:pStyle w:val="140"/>
              <w:spacing w:line="280" w:lineRule="exact"/>
            </w:pPr>
            <w:r>
              <w:rPr>
                <w:rFonts w:hint="eastAsia"/>
              </w:rPr>
              <w:t>S</w:t>
            </w:r>
            <w:r>
              <w:rPr>
                <w:rFonts w:hint="eastAsia"/>
                <w:vertAlign w:val="subscript"/>
              </w:rPr>
              <w:t>5-1</w:t>
            </w:r>
          </w:p>
        </w:tc>
        <w:tc>
          <w:tcPr>
            <w:tcW w:w="2126" w:type="dxa"/>
            <w:vAlign w:val="center"/>
          </w:tcPr>
          <w:p>
            <w:pPr>
              <w:pStyle w:val="140"/>
              <w:spacing w:line="280" w:lineRule="exact"/>
              <w:rPr>
                <w:szCs w:val="18"/>
              </w:rPr>
            </w:pPr>
            <w:r>
              <w:rPr>
                <w:rFonts w:hint="eastAsia"/>
                <w:szCs w:val="18"/>
              </w:rPr>
              <w:t>废液量：0.48t/a</w:t>
            </w:r>
          </w:p>
          <w:p>
            <w:pPr>
              <w:pStyle w:val="140"/>
              <w:spacing w:line="280" w:lineRule="exact"/>
              <w:rPr>
                <w:szCs w:val="18"/>
              </w:rPr>
            </w:pPr>
            <w:r>
              <w:rPr>
                <w:rFonts w:hint="eastAsia"/>
              </w:rPr>
              <w:t>废橡胶</w:t>
            </w:r>
          </w:p>
        </w:tc>
        <w:tc>
          <w:tcPr>
            <w:tcW w:w="851" w:type="dxa"/>
            <w:vAlign w:val="center"/>
          </w:tcPr>
          <w:p>
            <w:pPr>
              <w:pStyle w:val="140"/>
              <w:spacing w:line="280" w:lineRule="exact"/>
            </w:pPr>
            <w:r>
              <w:rPr>
                <w:rFonts w:hint="eastAsia"/>
              </w:rPr>
              <w:t>-</w:t>
            </w:r>
          </w:p>
        </w:tc>
        <w:tc>
          <w:tcPr>
            <w:tcW w:w="1985" w:type="dxa"/>
            <w:vAlign w:val="center"/>
          </w:tcPr>
          <w:p>
            <w:pPr>
              <w:pStyle w:val="140"/>
              <w:spacing w:line="280" w:lineRule="exact"/>
            </w:pPr>
            <w:r>
              <w:rPr>
                <w:rFonts w:hint="eastAsia"/>
              </w:rPr>
              <w:t>作为等外品外售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80" w:lineRule="exact"/>
            </w:pPr>
          </w:p>
        </w:tc>
        <w:tc>
          <w:tcPr>
            <w:tcW w:w="1185" w:type="dxa"/>
            <w:vAlign w:val="center"/>
          </w:tcPr>
          <w:p>
            <w:pPr>
              <w:pStyle w:val="140"/>
              <w:spacing w:line="280" w:lineRule="exact"/>
            </w:pPr>
            <w:r>
              <w:rPr>
                <w:rFonts w:hint="eastAsia"/>
              </w:rPr>
              <w:t>实验仪器</w:t>
            </w:r>
          </w:p>
        </w:tc>
        <w:tc>
          <w:tcPr>
            <w:tcW w:w="1185" w:type="dxa"/>
            <w:vAlign w:val="center"/>
          </w:tcPr>
          <w:p>
            <w:pPr>
              <w:pStyle w:val="140"/>
              <w:spacing w:line="280" w:lineRule="exact"/>
            </w:pPr>
            <w:r>
              <w:rPr>
                <w:rFonts w:hint="eastAsia"/>
              </w:rPr>
              <w:t>废有机溶剂</w:t>
            </w:r>
          </w:p>
        </w:tc>
        <w:tc>
          <w:tcPr>
            <w:tcW w:w="658" w:type="dxa"/>
            <w:vAlign w:val="center"/>
          </w:tcPr>
          <w:p>
            <w:pPr>
              <w:pStyle w:val="140"/>
              <w:spacing w:line="280" w:lineRule="exact"/>
            </w:pPr>
            <w:r>
              <w:rPr>
                <w:rFonts w:hint="eastAsia"/>
              </w:rPr>
              <w:t>S</w:t>
            </w:r>
            <w:r>
              <w:rPr>
                <w:rFonts w:hint="eastAsia"/>
                <w:vertAlign w:val="subscript"/>
              </w:rPr>
              <w:t>5-2</w:t>
            </w:r>
          </w:p>
        </w:tc>
        <w:tc>
          <w:tcPr>
            <w:tcW w:w="2126" w:type="dxa"/>
            <w:vAlign w:val="center"/>
          </w:tcPr>
          <w:p>
            <w:pPr>
              <w:pStyle w:val="140"/>
              <w:spacing w:line="280" w:lineRule="exact"/>
              <w:rPr>
                <w:szCs w:val="18"/>
              </w:rPr>
            </w:pPr>
            <w:r>
              <w:rPr>
                <w:rFonts w:hint="eastAsia"/>
                <w:szCs w:val="18"/>
              </w:rPr>
              <w:t>废液量：0.5t/a</w:t>
            </w:r>
          </w:p>
          <w:p>
            <w:pPr>
              <w:pStyle w:val="140"/>
              <w:spacing w:line="280" w:lineRule="exact"/>
            </w:pPr>
            <w:r>
              <w:rPr>
                <w:rFonts w:hint="eastAsia"/>
              </w:rPr>
              <w:t>废有机溶剂等</w:t>
            </w:r>
          </w:p>
        </w:tc>
        <w:tc>
          <w:tcPr>
            <w:tcW w:w="851" w:type="dxa"/>
            <w:vAlign w:val="center"/>
          </w:tcPr>
          <w:p>
            <w:pPr>
              <w:pStyle w:val="140"/>
              <w:spacing w:line="280" w:lineRule="exact"/>
            </w:pPr>
            <w:r>
              <w:rPr>
                <w:rFonts w:hint="eastAsia"/>
              </w:rPr>
              <w:t>-</w:t>
            </w:r>
          </w:p>
        </w:tc>
        <w:tc>
          <w:tcPr>
            <w:tcW w:w="1985" w:type="dxa"/>
            <w:vAlign w:val="center"/>
          </w:tcPr>
          <w:p>
            <w:pPr>
              <w:pStyle w:val="140"/>
              <w:spacing w:line="280" w:lineRule="exact"/>
            </w:pPr>
            <w:r>
              <w:rPr>
                <w:rFonts w:hint="eastAsia"/>
              </w:rPr>
              <w:t>外委有资质的危废处置单位处置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6" w:type="dxa"/>
            <w:vMerge w:val="continue"/>
            <w:vAlign w:val="center"/>
          </w:tcPr>
          <w:p>
            <w:pPr>
              <w:pStyle w:val="140"/>
              <w:spacing w:line="280" w:lineRule="exact"/>
            </w:pPr>
          </w:p>
        </w:tc>
        <w:tc>
          <w:tcPr>
            <w:tcW w:w="1185" w:type="dxa"/>
            <w:vAlign w:val="center"/>
          </w:tcPr>
          <w:p>
            <w:pPr>
              <w:pStyle w:val="140"/>
              <w:spacing w:line="280" w:lineRule="exact"/>
            </w:pPr>
            <w:r>
              <w:rPr>
                <w:rFonts w:hint="eastAsia"/>
              </w:rPr>
              <w:t>质检楼活性炭吸附装置</w:t>
            </w:r>
          </w:p>
        </w:tc>
        <w:tc>
          <w:tcPr>
            <w:tcW w:w="1185" w:type="dxa"/>
            <w:vAlign w:val="center"/>
          </w:tcPr>
          <w:p>
            <w:pPr>
              <w:pStyle w:val="140"/>
              <w:spacing w:line="280" w:lineRule="exact"/>
            </w:pPr>
            <w:r>
              <w:rPr>
                <w:rFonts w:hint="eastAsia"/>
              </w:rPr>
              <w:t>废活性炭</w:t>
            </w:r>
          </w:p>
        </w:tc>
        <w:tc>
          <w:tcPr>
            <w:tcW w:w="658" w:type="dxa"/>
            <w:vAlign w:val="center"/>
          </w:tcPr>
          <w:p>
            <w:pPr>
              <w:pStyle w:val="140"/>
              <w:spacing w:line="280" w:lineRule="exact"/>
            </w:pPr>
            <w:r>
              <w:rPr>
                <w:rFonts w:hint="eastAsia"/>
              </w:rPr>
              <w:t>S</w:t>
            </w:r>
            <w:r>
              <w:rPr>
                <w:rFonts w:hint="eastAsia"/>
                <w:vertAlign w:val="subscript"/>
              </w:rPr>
              <w:t>5-3</w:t>
            </w:r>
          </w:p>
        </w:tc>
        <w:tc>
          <w:tcPr>
            <w:tcW w:w="2126" w:type="dxa"/>
            <w:vAlign w:val="center"/>
          </w:tcPr>
          <w:p>
            <w:pPr>
              <w:pStyle w:val="140"/>
              <w:spacing w:line="280" w:lineRule="exact"/>
              <w:rPr>
                <w:szCs w:val="18"/>
              </w:rPr>
            </w:pPr>
            <w:r>
              <w:rPr>
                <w:rFonts w:hint="eastAsia"/>
                <w:szCs w:val="18"/>
              </w:rPr>
              <w:t>废液量：0.1t/a</w:t>
            </w:r>
          </w:p>
          <w:p>
            <w:pPr>
              <w:pStyle w:val="140"/>
              <w:spacing w:line="280" w:lineRule="exact"/>
              <w:rPr>
                <w:szCs w:val="18"/>
              </w:rPr>
            </w:pPr>
            <w:r>
              <w:rPr>
                <w:rFonts w:hint="eastAsia"/>
              </w:rPr>
              <w:t>废活性炭等</w:t>
            </w:r>
          </w:p>
        </w:tc>
        <w:tc>
          <w:tcPr>
            <w:tcW w:w="851" w:type="dxa"/>
            <w:vAlign w:val="center"/>
          </w:tcPr>
          <w:p>
            <w:pPr>
              <w:pStyle w:val="140"/>
              <w:spacing w:line="280" w:lineRule="exact"/>
            </w:pPr>
          </w:p>
        </w:tc>
        <w:tc>
          <w:tcPr>
            <w:tcW w:w="1985" w:type="dxa"/>
            <w:vAlign w:val="center"/>
          </w:tcPr>
          <w:p>
            <w:pPr>
              <w:pStyle w:val="140"/>
              <w:spacing w:line="280" w:lineRule="exact"/>
            </w:pPr>
            <w:r>
              <w:rPr>
                <w:rFonts w:hint="eastAsia"/>
              </w:rPr>
              <w:t>外委有资质的危废处置单位处置</w:t>
            </w:r>
          </w:p>
        </w:tc>
      </w:tr>
    </w:tbl>
    <w:p>
      <w:pPr>
        <w:snapToGrid w:val="0"/>
        <w:spacing w:line="360" w:lineRule="auto"/>
        <w:ind w:firstLine="480" w:firstLineChars="200"/>
        <w:rPr>
          <w:rFonts w:hint="eastAsia"/>
          <w:color w:val="auto"/>
        </w:rPr>
      </w:pPr>
      <w:r>
        <w:rPr>
          <w:rFonts w:hint="eastAsia"/>
          <w:sz w:val="24"/>
          <w:lang w:val="en-US" w:eastAsia="zh-CN"/>
        </w:rPr>
        <w:t>分析仪器产生的污染物品种多、数量少，从组成上来说主要分为废气、废液、废水、固体废弃物。质检楼产生的废气（G5-1）多为仪器分析后产生的少量样品，其产生量极低，经经活性炭处理后达标排放，后经1根15m排气筒外排；质检楼产生的普通固体废物为分析、制样产生的边角料（S5-1），作为级外品外售；质检楼产生的废液（S5-2）主要在用溶剂稀释样品，溶剂洗涤仪器产生的，收集后外委有资质的危废处置单位处置；质检楼产生的废水（W5-1）经收集后，送厂区现有综合废水站处理经二级水洗+碱洗+二级活性炭处理，后经1根25m排气筒外排；项目质检楼活性炭吸附装置还将产生少量的废弃活性炭（S5-3），收集后外委有资质的危废处置单位处置。</w:t>
      </w:r>
    </w:p>
    <w:p>
      <w:pPr>
        <w:pStyle w:val="5"/>
        <w:spacing w:before="120" w:after="120"/>
        <w:rPr>
          <w:rFonts w:ascii="Times New Roman" w:hAnsi="Times New Roman" w:eastAsia="宋体"/>
          <w:b/>
        </w:rPr>
      </w:pPr>
      <w:bookmarkStart w:id="42" w:name="_Toc50707406"/>
      <w:r>
        <w:rPr>
          <w:rFonts w:hint="eastAsia" w:ascii="Times New Roman" w:hAnsi="Times New Roman" w:eastAsia="宋体"/>
          <w:b/>
        </w:rPr>
        <w:t>2</w:t>
      </w:r>
      <w:r>
        <w:rPr>
          <w:rFonts w:ascii="Times New Roman" w:hAnsi="Times New Roman" w:eastAsia="宋体"/>
          <w:b/>
        </w:rPr>
        <w:t>.4施工期污染防治措施</w:t>
      </w:r>
      <w:bookmarkEnd w:id="42"/>
    </w:p>
    <w:p>
      <w:pPr>
        <w:pStyle w:val="6"/>
      </w:pPr>
      <w:bookmarkStart w:id="43" w:name="2.6.1_废水产生、治理及排放情况调查"/>
      <w:bookmarkEnd w:id="43"/>
      <w:bookmarkStart w:id="44" w:name="_Toc50707407"/>
      <w:r>
        <w:rPr>
          <w:rFonts w:hint="eastAsia"/>
        </w:rPr>
        <w:t>2</w:t>
      </w:r>
      <w:r>
        <w:t>.4.1废水产生、治理及排放情况调查</w:t>
      </w:r>
      <w:bookmarkEnd w:id="44"/>
    </w:p>
    <w:p>
      <w:pPr>
        <w:snapToGrid w:val="0"/>
        <w:spacing w:line="360" w:lineRule="auto"/>
        <w:ind w:firstLine="480" w:firstLineChars="200"/>
        <w:rPr>
          <w:sz w:val="24"/>
        </w:rPr>
      </w:pPr>
      <w:r>
        <w:rPr>
          <w:sz w:val="24"/>
        </w:rPr>
        <w:t>施工期废水主要包括工地生产废水和现场工作人员生活污水两部分。施工期生产废水：道路及进出场地运输车辆冲洗用水、设备及机械冲洗水，通过已建临时沉淀池处理后循环使用，不外排。</w:t>
      </w:r>
    </w:p>
    <w:p>
      <w:pPr>
        <w:snapToGrid w:val="0"/>
        <w:spacing w:line="360" w:lineRule="auto"/>
        <w:ind w:firstLine="480" w:firstLineChars="200"/>
        <w:rPr>
          <w:sz w:val="24"/>
        </w:rPr>
      </w:pPr>
      <w:r>
        <w:rPr>
          <w:sz w:val="24"/>
        </w:rPr>
        <w:t>工地生活污水：生活污水通过</w:t>
      </w:r>
      <w:r>
        <w:rPr>
          <w:rFonts w:hint="eastAsia"/>
          <w:sz w:val="24"/>
        </w:rPr>
        <w:t>化粪池</w:t>
      </w:r>
      <w:r>
        <w:rPr>
          <w:sz w:val="24"/>
        </w:rPr>
        <w:t>处理</w:t>
      </w:r>
      <w:r>
        <w:rPr>
          <w:rFonts w:hint="eastAsia"/>
          <w:sz w:val="24"/>
        </w:rPr>
        <w:t>后</w:t>
      </w:r>
      <w:r>
        <w:rPr>
          <w:sz w:val="24"/>
        </w:rPr>
        <w:t>由晨光基地已建污水站处理后外排。</w:t>
      </w:r>
    </w:p>
    <w:p>
      <w:pPr>
        <w:pStyle w:val="6"/>
      </w:pPr>
      <w:bookmarkStart w:id="45" w:name="2.6.2_废气产生、治理及排放情况调查"/>
      <w:bookmarkEnd w:id="45"/>
      <w:bookmarkStart w:id="46" w:name="_Toc50707408"/>
      <w:r>
        <w:rPr>
          <w:rFonts w:hint="eastAsia"/>
        </w:rPr>
        <w:t>2</w:t>
      </w:r>
      <w:r>
        <w:t>.4.2废气产生、治理及排放情况调查</w:t>
      </w:r>
      <w:bookmarkEnd w:id="46"/>
    </w:p>
    <w:p>
      <w:pPr>
        <w:snapToGrid w:val="0"/>
        <w:spacing w:line="360" w:lineRule="auto"/>
        <w:ind w:firstLine="480" w:firstLineChars="200"/>
        <w:rPr>
          <w:sz w:val="24"/>
        </w:rPr>
      </w:pPr>
      <w:r>
        <w:rPr>
          <w:sz w:val="24"/>
        </w:rPr>
        <w:t>据调查，施工期针对施工扬尘施工单位已采取以下治理措施：</w:t>
      </w:r>
    </w:p>
    <w:p>
      <w:pPr>
        <w:snapToGrid w:val="0"/>
        <w:spacing w:line="360" w:lineRule="auto"/>
        <w:ind w:firstLine="480" w:firstLineChars="200"/>
        <w:rPr>
          <w:sz w:val="24"/>
        </w:rPr>
      </w:pPr>
      <w:r>
        <w:rPr>
          <w:sz w:val="24"/>
        </w:rPr>
        <w:t>在施工场地设立1.8m高的围墙；</w:t>
      </w:r>
    </w:p>
    <w:p>
      <w:pPr>
        <w:snapToGrid w:val="0"/>
        <w:spacing w:line="360" w:lineRule="auto"/>
        <w:ind w:firstLine="480" w:firstLineChars="200"/>
        <w:rPr>
          <w:sz w:val="24"/>
        </w:rPr>
      </w:pPr>
      <w:r>
        <w:rPr>
          <w:sz w:val="24"/>
        </w:rPr>
        <w:t>在施工区出口放置防尘垫，对运输车辆现场设置洗车场；</w:t>
      </w:r>
    </w:p>
    <w:p>
      <w:pPr>
        <w:snapToGrid w:val="0"/>
        <w:spacing w:line="360" w:lineRule="auto"/>
        <w:ind w:firstLine="480" w:firstLineChars="200"/>
        <w:rPr>
          <w:sz w:val="24"/>
        </w:rPr>
      </w:pPr>
      <w:r>
        <w:rPr>
          <w:sz w:val="24"/>
        </w:rPr>
        <w:t>每天清扫施工现场；</w:t>
      </w:r>
    </w:p>
    <w:p>
      <w:pPr>
        <w:snapToGrid w:val="0"/>
        <w:spacing w:line="360" w:lineRule="auto"/>
        <w:ind w:firstLine="480" w:firstLineChars="200"/>
        <w:rPr>
          <w:sz w:val="24"/>
        </w:rPr>
      </w:pPr>
      <w:r>
        <w:rPr>
          <w:sz w:val="24"/>
        </w:rPr>
        <w:t>项目施工场地配备一名专职保洁人员负责施工现场的卫生管理工作；</w:t>
      </w:r>
    </w:p>
    <w:p>
      <w:pPr>
        <w:snapToGrid w:val="0"/>
        <w:spacing w:line="360" w:lineRule="auto"/>
        <w:ind w:firstLine="480" w:firstLineChars="200"/>
        <w:rPr>
          <w:sz w:val="24"/>
        </w:rPr>
      </w:pPr>
      <w:r>
        <w:rPr>
          <w:sz w:val="24"/>
        </w:rPr>
        <w:t>水泥等产生尘污染的建筑材料堆放在库房内。</w:t>
      </w:r>
    </w:p>
    <w:p>
      <w:pPr>
        <w:snapToGrid w:val="0"/>
        <w:spacing w:line="360" w:lineRule="auto"/>
        <w:ind w:firstLine="480" w:firstLineChars="200"/>
        <w:rPr>
          <w:sz w:val="24"/>
        </w:rPr>
      </w:pPr>
      <w:r>
        <w:rPr>
          <w:sz w:val="24"/>
        </w:rPr>
        <w:t>通过调查，施工单位在采取以上环保措施的前提下，施工扬尘对外环境影响较小，未受到环保投诉。</w:t>
      </w:r>
    </w:p>
    <w:p>
      <w:pPr>
        <w:pStyle w:val="6"/>
      </w:pPr>
      <w:bookmarkStart w:id="47" w:name="2.6.3_施工噪声产生、治理及排放情况调查"/>
      <w:bookmarkEnd w:id="47"/>
      <w:bookmarkStart w:id="48" w:name="_Toc50707409"/>
      <w:r>
        <w:rPr>
          <w:rFonts w:hint="eastAsia"/>
        </w:rPr>
        <w:t>2</w:t>
      </w:r>
      <w:r>
        <w:t>.4.3施工噪声产生、治理及排放情况调查</w:t>
      </w:r>
      <w:bookmarkEnd w:id="48"/>
    </w:p>
    <w:p>
      <w:pPr>
        <w:snapToGrid w:val="0"/>
        <w:spacing w:line="360" w:lineRule="auto"/>
        <w:ind w:firstLine="480" w:firstLineChars="200"/>
        <w:rPr>
          <w:sz w:val="24"/>
        </w:rPr>
      </w:pPr>
      <w:r>
        <w:rPr>
          <w:sz w:val="24"/>
        </w:rPr>
        <w:t>本项目施工期施工噪声主要来源于施工机械、车辆运行时产生的噪声，同时本项目建设过程中，使用商品混凝土，对钢筋、钢板切割等高噪声产生点设置简易围挡，降低噪声对周围的影响。</w:t>
      </w:r>
    </w:p>
    <w:p>
      <w:pPr>
        <w:keepNext/>
        <w:keepLines/>
        <w:spacing w:line="360" w:lineRule="auto"/>
        <w:outlineLvl w:val="2"/>
        <w:rPr>
          <w:b/>
          <w:bCs/>
          <w:sz w:val="28"/>
          <w:szCs w:val="32"/>
        </w:rPr>
      </w:pPr>
      <w:bookmarkStart w:id="49" w:name="2.6.4_施工固废产生、治理及排放情况调查"/>
      <w:bookmarkEnd w:id="49"/>
      <w:bookmarkStart w:id="50" w:name="_Toc50707410"/>
      <w:r>
        <w:rPr>
          <w:rFonts w:hint="eastAsia"/>
          <w:b/>
          <w:bCs/>
          <w:sz w:val="28"/>
          <w:szCs w:val="32"/>
        </w:rPr>
        <w:t>2</w:t>
      </w:r>
      <w:r>
        <w:rPr>
          <w:b/>
          <w:bCs/>
          <w:sz w:val="28"/>
          <w:szCs w:val="32"/>
        </w:rPr>
        <w:t>.4.4施工固废产生、治理及排放情况调查</w:t>
      </w:r>
      <w:bookmarkEnd w:id="50"/>
    </w:p>
    <w:p>
      <w:pPr>
        <w:snapToGrid w:val="0"/>
        <w:spacing w:line="360" w:lineRule="auto"/>
        <w:ind w:firstLine="480" w:firstLineChars="200"/>
        <w:rPr>
          <w:sz w:val="24"/>
        </w:rPr>
      </w:pPr>
      <w:r>
        <w:rPr>
          <w:sz w:val="24"/>
        </w:rPr>
        <w:t>施工期固废主要包括建筑垃圾（弃渣）和生活垃圾。</w:t>
      </w:r>
    </w:p>
    <w:p>
      <w:pPr>
        <w:snapToGrid w:val="0"/>
        <w:spacing w:line="360" w:lineRule="auto"/>
        <w:ind w:firstLine="480" w:firstLineChars="200"/>
        <w:rPr>
          <w:sz w:val="24"/>
        </w:rPr>
      </w:pPr>
      <w:r>
        <w:rPr>
          <w:sz w:val="24"/>
        </w:rPr>
        <w:t>建筑垃圾：项目建筑垃圾主要来自施工作业，包括砂石、石块、碎砖瓦、废木料、废金属、废钢筋等杂物，这部分数量较少。</w:t>
      </w:r>
    </w:p>
    <w:p>
      <w:pPr>
        <w:snapToGrid w:val="0"/>
        <w:spacing w:line="360" w:lineRule="auto"/>
        <w:ind w:firstLine="480" w:firstLineChars="200"/>
        <w:rPr>
          <w:sz w:val="24"/>
        </w:rPr>
      </w:pPr>
      <w:r>
        <w:rPr>
          <w:sz w:val="24"/>
        </w:rPr>
        <w:t>施工期生活垃圾主要来源施工人员及工地管理人员。</w:t>
      </w:r>
    </w:p>
    <w:p>
      <w:pPr>
        <w:snapToGrid w:val="0"/>
        <w:spacing w:line="360" w:lineRule="auto"/>
        <w:ind w:firstLine="480" w:firstLineChars="200"/>
        <w:rPr>
          <w:sz w:val="24"/>
        </w:rPr>
      </w:pPr>
      <w:r>
        <w:rPr>
          <w:sz w:val="24"/>
        </w:rPr>
        <w:t>建筑垃圾：部分在场地内回用，不能回用的有运输车辆运输至建筑垃圾堆场，现场踏勘可知建筑垃圾未随意占地丢弃。施工期间施工人员生活垃圾依附当地村镇生活垃圾收集设施，妥善收集后，由环卫部门统一清运。</w:t>
      </w:r>
    </w:p>
    <w:p>
      <w:pPr>
        <w:pStyle w:val="5"/>
        <w:spacing w:before="120" w:after="120"/>
        <w:rPr>
          <w:rFonts w:ascii="Times New Roman" w:hAnsi="Times New Roman" w:eastAsia="宋体"/>
          <w:b/>
        </w:rPr>
      </w:pPr>
      <w:bookmarkStart w:id="51" w:name="_Toc50707411"/>
      <w:r>
        <w:rPr>
          <w:rFonts w:ascii="Times New Roman" w:hAnsi="Times New Roman" w:eastAsia="宋体"/>
          <w:b/>
        </w:rPr>
        <w:t>2.5营运期环保措施分析</w:t>
      </w:r>
      <w:bookmarkEnd w:id="51"/>
    </w:p>
    <w:p>
      <w:pPr>
        <w:pStyle w:val="6"/>
        <w:rPr>
          <w:spacing w:val="4"/>
        </w:rPr>
      </w:pPr>
      <w:bookmarkStart w:id="52" w:name="_Toc50707412"/>
      <w:r>
        <w:rPr>
          <w:spacing w:val="4"/>
        </w:rPr>
        <w:t>2.5.1 营运期废水防治措施</w:t>
      </w:r>
      <w:bookmarkEnd w:id="52"/>
    </w:p>
    <w:p>
      <w:pPr>
        <w:adjustRightInd w:val="0"/>
        <w:snapToGrid w:val="0"/>
        <w:spacing w:line="360" w:lineRule="auto"/>
        <w:ind w:firstLine="480"/>
        <w:rPr>
          <w:rFonts w:hint="eastAsia"/>
          <w:sz w:val="24"/>
        </w:rPr>
      </w:pPr>
      <w:bookmarkStart w:id="53" w:name="_Toc50707413"/>
      <w:r>
        <w:rPr>
          <w:rFonts w:hint="eastAsia"/>
          <w:sz w:val="24"/>
        </w:rPr>
        <w:t>项目废橡胶车间废水和质检楼废水依托晨光院厂区现有综合废水站进行处理；MOVE实验楼废水依托晨光院厂区现有含氟废水站进行处理；以上废水经预处理达《污水综合排放标准》（GB8978-1996）中三级标准、《污水排入城镇下水道水质标准》（GB/T31962-2015）B级标准和园区进水水质要求，含氟废水氟化物＜10mg/L，排入园区污水处理厂进行处理，达《四川省岷江、沱江流域水污染物排放标准》（DB51/2311-2016）中工业园区集中式污水处理厂排放标准，尾水排入沱江。</w:t>
      </w:r>
    </w:p>
    <w:p>
      <w:pPr>
        <w:pStyle w:val="6"/>
        <w:rPr>
          <w:spacing w:val="4"/>
        </w:rPr>
      </w:pPr>
      <w:r>
        <w:rPr>
          <w:spacing w:val="4"/>
        </w:rPr>
        <w:t>2.6.2营运期废</w:t>
      </w:r>
      <w:r>
        <w:rPr>
          <w:rFonts w:hint="eastAsia"/>
          <w:spacing w:val="4"/>
        </w:rPr>
        <w:t>气</w:t>
      </w:r>
      <w:r>
        <w:rPr>
          <w:spacing w:val="4"/>
        </w:rPr>
        <w:t>防治措施</w:t>
      </w:r>
      <w:bookmarkEnd w:id="53"/>
    </w:p>
    <w:p>
      <w:pPr>
        <w:widowControl/>
        <w:spacing w:line="360" w:lineRule="auto"/>
        <w:ind w:firstLine="480"/>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氟橡胶实验置换气（G1-1、G1-2）成分以吹扫的氮气为主，此外还含有少量的氟化物和VOCs，经1套活性炭吸附装置处理。</w:t>
      </w:r>
    </w:p>
    <w:p>
      <w:pPr>
        <w:widowControl/>
        <w:spacing w:line="360" w:lineRule="auto"/>
        <w:ind w:firstLine="480"/>
        <w:rPr>
          <w:rFonts w:hint="eastAsia"/>
          <w:sz w:val="24"/>
          <w:lang w:val="en-US" w:eastAsia="zh-CN"/>
        </w:rPr>
      </w:pPr>
      <w:r>
        <w:rPr>
          <w:rFonts w:hint="eastAsia"/>
          <w:sz w:val="24"/>
          <w:lang w:val="en-US" w:eastAsia="zh-CN"/>
        </w:rPr>
        <w:t>（2）</w:t>
      </w:r>
      <w:r>
        <w:rPr>
          <w:sz w:val="24"/>
        </w:rPr>
        <w:t>本项目MOVE实验楼废气采用二级水洗+碱洗+二级活性炭处理</w:t>
      </w:r>
      <w:r>
        <w:rPr>
          <w:rFonts w:hint="eastAsia"/>
          <w:sz w:val="24"/>
          <w:lang w:eastAsia="zh-CN"/>
        </w:rPr>
        <w:t>后</w:t>
      </w:r>
      <w:r>
        <w:rPr>
          <w:sz w:val="24"/>
        </w:rPr>
        <w:t>排放</w:t>
      </w:r>
      <w:r>
        <w:rPr>
          <w:rFonts w:hint="eastAsia"/>
          <w:sz w:val="24"/>
          <w:lang w:eastAsia="zh-CN"/>
        </w:rPr>
        <w:t>；</w:t>
      </w:r>
    </w:p>
    <w:p>
      <w:pPr>
        <w:widowControl/>
        <w:spacing w:line="360" w:lineRule="auto"/>
        <w:ind w:firstLine="480"/>
        <w:rPr>
          <w:rFonts w:hint="eastAsia"/>
          <w:sz w:val="24"/>
          <w:lang w:eastAsia="zh-CN"/>
        </w:rPr>
      </w:pPr>
      <w:r>
        <w:rPr>
          <w:rFonts w:hint="eastAsia"/>
          <w:sz w:val="24"/>
          <w:lang w:eastAsia="zh-CN"/>
        </w:rPr>
        <w:t>（</w:t>
      </w:r>
      <w:r>
        <w:rPr>
          <w:rFonts w:hint="eastAsia"/>
          <w:sz w:val="24"/>
          <w:lang w:val="en-US" w:eastAsia="zh-CN"/>
        </w:rPr>
        <w:t>3</w:t>
      </w:r>
      <w:r>
        <w:rPr>
          <w:rFonts w:hint="eastAsia"/>
          <w:sz w:val="24"/>
          <w:lang w:eastAsia="zh-CN"/>
        </w:rPr>
        <w:t>）</w:t>
      </w:r>
      <w:r>
        <w:rPr>
          <w:sz w:val="24"/>
        </w:rPr>
        <w:t>项目质检楼废气主要为有机溶剂试剂使用时产生的部分挥发出的有机废气，产生量少，经1套活性炭吸附装置对废气进行处理，可确保废气达标排放。</w:t>
      </w:r>
    </w:p>
    <w:p>
      <w:pPr>
        <w:pStyle w:val="6"/>
        <w:spacing w:before="120" w:beforeLines="50"/>
        <w:rPr>
          <w:szCs w:val="28"/>
        </w:rPr>
      </w:pPr>
      <w:bookmarkStart w:id="54" w:name="_Toc50707414"/>
      <w:r>
        <w:rPr>
          <w:rFonts w:hint="eastAsia"/>
          <w:szCs w:val="28"/>
        </w:rPr>
        <w:t>2</w:t>
      </w:r>
      <w:r>
        <w:rPr>
          <w:szCs w:val="28"/>
        </w:rPr>
        <w:t>.6.3营运期噪声产生、治理及排放情况分析</w:t>
      </w:r>
      <w:bookmarkEnd w:id="54"/>
    </w:p>
    <w:p>
      <w:pPr>
        <w:widowControl/>
        <w:spacing w:line="360" w:lineRule="auto"/>
        <w:ind w:firstLine="480"/>
        <w:rPr>
          <w:sz w:val="24"/>
        </w:rPr>
      </w:pPr>
      <w:r>
        <w:rPr>
          <w:sz w:val="24"/>
        </w:rPr>
        <w:t>项目噪声源主要为</w:t>
      </w:r>
      <w:r>
        <w:rPr>
          <w:rFonts w:hint="eastAsia"/>
          <w:sz w:val="24"/>
        </w:rPr>
        <w:t>设备运行</w:t>
      </w:r>
      <w:r>
        <w:rPr>
          <w:sz w:val="24"/>
        </w:rPr>
        <w:t>中</w:t>
      </w:r>
      <w:r>
        <w:rPr>
          <w:rFonts w:hint="eastAsia"/>
          <w:sz w:val="24"/>
        </w:rPr>
        <w:t>产生的</w:t>
      </w:r>
      <w:r>
        <w:rPr>
          <w:sz w:val="24"/>
        </w:rPr>
        <w:t>噪声等。主要通过以下措施进行治理：</w:t>
      </w:r>
    </w:p>
    <w:p>
      <w:pPr>
        <w:widowControl/>
        <w:spacing w:line="360" w:lineRule="auto"/>
        <w:ind w:firstLine="480"/>
        <w:rPr>
          <w:sz w:val="24"/>
        </w:rPr>
      </w:pPr>
      <w:r>
        <w:rPr>
          <w:rFonts w:hint="eastAsia"/>
          <w:sz w:val="24"/>
        </w:rPr>
        <w:t>（</w:t>
      </w:r>
      <w:r>
        <w:rPr>
          <w:sz w:val="24"/>
        </w:rPr>
        <w:t>1）尽量选用低噪声设备；</w:t>
      </w:r>
    </w:p>
    <w:p>
      <w:pPr>
        <w:widowControl/>
        <w:spacing w:line="360" w:lineRule="auto"/>
        <w:ind w:firstLine="480"/>
        <w:rPr>
          <w:sz w:val="24"/>
        </w:rPr>
      </w:pPr>
      <w:r>
        <w:rPr>
          <w:rFonts w:hint="eastAsia"/>
          <w:sz w:val="24"/>
        </w:rPr>
        <w:t>（</w:t>
      </w:r>
      <w:r>
        <w:rPr>
          <w:sz w:val="24"/>
        </w:rPr>
        <w:t>2）噪声较强的设备设隔音罩、消声器，操作岗位设隔音室；</w:t>
      </w:r>
    </w:p>
    <w:p>
      <w:pPr>
        <w:widowControl/>
        <w:spacing w:line="360" w:lineRule="auto"/>
        <w:ind w:firstLine="480"/>
        <w:rPr>
          <w:sz w:val="24"/>
        </w:rPr>
      </w:pPr>
      <w:r>
        <w:rPr>
          <w:rFonts w:hint="eastAsia"/>
          <w:sz w:val="24"/>
        </w:rPr>
        <w:t>（</w:t>
      </w:r>
      <w:r>
        <w:rPr>
          <w:sz w:val="24"/>
        </w:rPr>
        <w:t>3）震动设备采用加软连接，设减振器或减振装置；</w:t>
      </w:r>
    </w:p>
    <w:p>
      <w:pPr>
        <w:widowControl/>
        <w:spacing w:line="360" w:lineRule="auto"/>
        <w:ind w:firstLine="480"/>
        <w:rPr>
          <w:sz w:val="24"/>
        </w:rPr>
      </w:pPr>
      <w:r>
        <w:rPr>
          <w:rFonts w:hint="eastAsia"/>
          <w:sz w:val="24"/>
        </w:rPr>
        <w:t>（</w:t>
      </w:r>
      <w:r>
        <w:rPr>
          <w:sz w:val="24"/>
        </w:rPr>
        <w:t>4）管道设计中注意防振、防冲击，以减轻落料、振动噪声。风管及流体输送应注意改善其流畅状况，减少空气动力噪声。</w:t>
      </w:r>
    </w:p>
    <w:p>
      <w:pPr>
        <w:widowControl/>
        <w:spacing w:line="360" w:lineRule="auto"/>
        <w:ind w:firstLine="480"/>
        <w:rPr>
          <w:sz w:val="24"/>
        </w:rPr>
      </w:pPr>
      <w:r>
        <w:rPr>
          <w:rFonts w:hint="eastAsia"/>
          <w:sz w:val="24"/>
        </w:rPr>
        <w:t>（</w:t>
      </w:r>
      <w:r>
        <w:rPr>
          <w:sz w:val="24"/>
        </w:rPr>
        <w:t>5）通过总图布置，合理布局，防止噪声叠加和干扰，经距离衰减实现厂界达标。</w:t>
      </w:r>
    </w:p>
    <w:p>
      <w:pPr>
        <w:pStyle w:val="6"/>
        <w:rPr>
          <w:szCs w:val="28"/>
        </w:rPr>
      </w:pPr>
      <w:bookmarkStart w:id="55" w:name="2.7.4_营运期固废产生、治理及排放情况分析"/>
      <w:bookmarkEnd w:id="55"/>
      <w:bookmarkStart w:id="56" w:name="_Toc50707415"/>
      <w:r>
        <w:rPr>
          <w:rFonts w:hint="eastAsia"/>
          <w:szCs w:val="28"/>
        </w:rPr>
        <w:t>2</w:t>
      </w:r>
      <w:r>
        <w:rPr>
          <w:szCs w:val="28"/>
        </w:rPr>
        <w:t>.6.4营运期固废产生、治理及排放情况分析</w:t>
      </w:r>
      <w:bookmarkEnd w:id="56"/>
    </w:p>
    <w:p>
      <w:pPr>
        <w:widowControl/>
        <w:spacing w:line="360" w:lineRule="auto"/>
        <w:ind w:firstLine="480"/>
        <w:rPr>
          <w:rFonts w:hint="eastAsia"/>
          <w:sz w:val="24"/>
        </w:rPr>
      </w:pPr>
      <w:bookmarkStart w:id="57" w:name="_Toc50707416"/>
      <w:r>
        <w:rPr>
          <w:sz w:val="24"/>
        </w:rPr>
        <w:t>工业固废处置原则</w:t>
      </w:r>
      <w:r>
        <w:rPr>
          <w:rFonts w:hint="eastAsia"/>
          <w:sz w:val="24"/>
        </w:rPr>
        <w:t>为</w:t>
      </w:r>
      <w:r>
        <w:rPr>
          <w:sz w:val="24"/>
        </w:rPr>
        <w:t>：实行</w:t>
      </w:r>
      <w:r>
        <w:rPr>
          <w:rFonts w:hint="eastAsia"/>
          <w:sz w:val="24"/>
        </w:rPr>
        <w:t>减量</w:t>
      </w:r>
      <w:r>
        <w:rPr>
          <w:sz w:val="24"/>
        </w:rPr>
        <w:t>化、资源化和无害化。</w:t>
      </w:r>
      <w:r>
        <w:rPr>
          <w:rFonts w:hint="eastAsia"/>
          <w:sz w:val="24"/>
        </w:rPr>
        <w:t>本项目固废的处置均做到了无害化处理或资源化利用。项目固废产生及排放情况见表</w:t>
      </w:r>
      <w:r>
        <w:rPr>
          <w:rFonts w:hint="eastAsia"/>
          <w:sz w:val="24"/>
          <w:lang w:val="en-US" w:eastAsia="zh-CN"/>
        </w:rPr>
        <w:t>2.6.4</w:t>
      </w:r>
      <w:r>
        <w:rPr>
          <w:rFonts w:hint="eastAsia"/>
          <w:sz w:val="24"/>
        </w:rPr>
        <w:t>。</w:t>
      </w:r>
    </w:p>
    <w:p>
      <w:pPr>
        <w:pStyle w:val="146"/>
        <w:rPr>
          <w:rFonts w:hint="eastAsia"/>
          <w:color w:val="auto"/>
        </w:rPr>
      </w:pPr>
      <w:r>
        <w:rPr>
          <w:rFonts w:hint="eastAsia"/>
          <w:color w:val="auto"/>
        </w:rPr>
        <w:t>表</w:t>
      </w:r>
      <w:r>
        <w:rPr>
          <w:rFonts w:hint="eastAsia"/>
          <w:color w:val="auto"/>
          <w:lang w:val="en-US" w:eastAsia="zh-CN"/>
        </w:rPr>
        <w:t>2.6.4</w:t>
      </w:r>
      <w:r>
        <w:rPr>
          <w:rFonts w:hint="eastAsia"/>
          <w:color w:val="auto"/>
        </w:rPr>
        <w:t xml:space="preserve">       项目固废产生及排放状况</w:t>
      </w:r>
    </w:p>
    <w:tbl>
      <w:tblPr>
        <w:tblStyle w:val="43"/>
        <w:tblW w:w="837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916"/>
        <w:gridCol w:w="1093"/>
        <w:gridCol w:w="711"/>
        <w:gridCol w:w="506"/>
        <w:gridCol w:w="2613"/>
        <w:gridCol w:w="419"/>
        <w:gridCol w:w="133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9" w:hRule="atLeast"/>
          <w:tblHeader/>
          <w:jc w:val="center"/>
        </w:trPr>
        <w:tc>
          <w:tcPr>
            <w:tcW w:w="787" w:type="dxa"/>
            <w:noWrap w:val="0"/>
            <w:vAlign w:val="center"/>
          </w:tcPr>
          <w:p>
            <w:pPr>
              <w:pStyle w:val="151"/>
              <w:spacing w:line="240" w:lineRule="exact"/>
            </w:pPr>
            <w:bookmarkStart w:id="58" w:name="_Hlk43741550"/>
            <w:r>
              <w:t>工序/</w:t>
            </w:r>
          </w:p>
          <w:p>
            <w:pPr>
              <w:pStyle w:val="151"/>
              <w:spacing w:line="240" w:lineRule="exact"/>
            </w:pPr>
            <w:r>
              <w:t>生产线</w:t>
            </w:r>
          </w:p>
        </w:tc>
        <w:tc>
          <w:tcPr>
            <w:tcW w:w="916" w:type="dxa"/>
            <w:noWrap w:val="0"/>
            <w:vAlign w:val="center"/>
          </w:tcPr>
          <w:p>
            <w:pPr>
              <w:pStyle w:val="151"/>
              <w:spacing w:line="240" w:lineRule="exact"/>
            </w:pPr>
            <w:r>
              <w:t>装置</w:t>
            </w:r>
          </w:p>
        </w:tc>
        <w:tc>
          <w:tcPr>
            <w:tcW w:w="1093" w:type="dxa"/>
            <w:noWrap w:val="0"/>
            <w:vAlign w:val="center"/>
          </w:tcPr>
          <w:p>
            <w:pPr>
              <w:pStyle w:val="151"/>
              <w:spacing w:line="240" w:lineRule="exact"/>
            </w:pPr>
            <w:r>
              <w:t>固体废物</w:t>
            </w:r>
          </w:p>
          <w:p>
            <w:pPr>
              <w:pStyle w:val="151"/>
              <w:spacing w:line="240" w:lineRule="exact"/>
            </w:pPr>
            <w:r>
              <w:t>名称</w:t>
            </w:r>
          </w:p>
        </w:tc>
        <w:tc>
          <w:tcPr>
            <w:tcW w:w="711" w:type="dxa"/>
            <w:noWrap w:val="0"/>
            <w:vAlign w:val="center"/>
          </w:tcPr>
          <w:p>
            <w:pPr>
              <w:pStyle w:val="151"/>
              <w:spacing w:line="240" w:lineRule="exact"/>
            </w:pPr>
            <w:r>
              <w:t>产生量t/a</w:t>
            </w:r>
          </w:p>
        </w:tc>
        <w:tc>
          <w:tcPr>
            <w:tcW w:w="506" w:type="dxa"/>
            <w:tcBorders>
              <w:left w:val="single" w:color="auto" w:sz="4" w:space="0"/>
            </w:tcBorders>
            <w:noWrap w:val="0"/>
            <w:vAlign w:val="top"/>
          </w:tcPr>
          <w:p>
            <w:pPr>
              <w:pStyle w:val="151"/>
              <w:spacing w:line="240" w:lineRule="exact"/>
            </w:pPr>
            <w:r>
              <w:t>危废特性</w:t>
            </w:r>
          </w:p>
        </w:tc>
        <w:tc>
          <w:tcPr>
            <w:tcW w:w="2613" w:type="dxa"/>
            <w:noWrap w:val="0"/>
            <w:vAlign w:val="center"/>
          </w:tcPr>
          <w:p>
            <w:pPr>
              <w:spacing w:line="240" w:lineRule="exact"/>
            </w:pPr>
            <w:r>
              <w:rPr>
                <w:rFonts w:ascii="宋体" w:hAnsi="宋体"/>
                <w:sz w:val="18"/>
                <w:szCs w:val="18"/>
              </w:rPr>
              <w:t>主要组成及危废代码</w:t>
            </w:r>
          </w:p>
        </w:tc>
        <w:tc>
          <w:tcPr>
            <w:tcW w:w="419" w:type="dxa"/>
            <w:noWrap w:val="0"/>
            <w:vAlign w:val="center"/>
          </w:tcPr>
          <w:p>
            <w:pPr>
              <w:pStyle w:val="151"/>
              <w:spacing w:line="240" w:lineRule="exact"/>
            </w:pPr>
            <w:r>
              <w:rPr>
                <w:rFonts w:hint="eastAsia"/>
              </w:rPr>
              <w:t>排放规律</w:t>
            </w:r>
          </w:p>
        </w:tc>
        <w:tc>
          <w:tcPr>
            <w:tcW w:w="1332" w:type="dxa"/>
            <w:noWrap w:val="0"/>
            <w:vAlign w:val="center"/>
          </w:tcPr>
          <w:p>
            <w:pPr>
              <w:pStyle w:val="151"/>
              <w:spacing w:line="240" w:lineRule="exact"/>
            </w:pPr>
            <w:r>
              <w:t>处置措施</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787" w:type="dxa"/>
            <w:noWrap w:val="0"/>
            <w:vAlign w:val="center"/>
          </w:tcPr>
          <w:p>
            <w:pPr>
              <w:pStyle w:val="151"/>
              <w:spacing w:line="240" w:lineRule="exact"/>
            </w:pPr>
            <w:r>
              <w:t>共性条件研究</w:t>
            </w:r>
          </w:p>
        </w:tc>
        <w:tc>
          <w:tcPr>
            <w:tcW w:w="916" w:type="dxa"/>
            <w:noWrap w:val="0"/>
            <w:vAlign w:val="center"/>
          </w:tcPr>
          <w:p>
            <w:pPr>
              <w:pStyle w:val="151"/>
              <w:spacing w:line="240" w:lineRule="exact"/>
            </w:pPr>
            <w:r>
              <w:rPr>
                <w:kern w:val="0"/>
              </w:rPr>
              <w:t>压缩机</w:t>
            </w:r>
          </w:p>
        </w:tc>
        <w:tc>
          <w:tcPr>
            <w:tcW w:w="1093" w:type="dxa"/>
            <w:noWrap w:val="0"/>
            <w:vAlign w:val="center"/>
          </w:tcPr>
          <w:p>
            <w:pPr>
              <w:pStyle w:val="151"/>
              <w:spacing w:line="240" w:lineRule="exact"/>
              <w:rPr>
                <w:bCs/>
                <w:spacing w:val="20"/>
              </w:rPr>
            </w:pPr>
            <w:r>
              <w:rPr>
                <w:bCs/>
              </w:rPr>
              <w:t>废油（S</w:t>
            </w:r>
            <w:r>
              <w:rPr>
                <w:bCs/>
                <w:vertAlign w:val="subscript"/>
              </w:rPr>
              <w:t>1-1</w:t>
            </w:r>
            <w:r>
              <w:rPr>
                <w:bCs/>
              </w:rPr>
              <w:t>）</w:t>
            </w:r>
          </w:p>
        </w:tc>
        <w:tc>
          <w:tcPr>
            <w:tcW w:w="711" w:type="dxa"/>
            <w:noWrap w:val="0"/>
            <w:vAlign w:val="center"/>
          </w:tcPr>
          <w:p>
            <w:pPr>
              <w:pStyle w:val="151"/>
              <w:spacing w:line="240" w:lineRule="exact"/>
            </w:pPr>
            <w:r>
              <w:t>0.001</w:t>
            </w:r>
          </w:p>
        </w:tc>
        <w:tc>
          <w:tcPr>
            <w:tcW w:w="506" w:type="dxa"/>
            <w:noWrap w:val="0"/>
            <w:vAlign w:val="top"/>
          </w:tcPr>
          <w:p>
            <w:pPr>
              <w:pStyle w:val="151"/>
              <w:spacing w:line="240" w:lineRule="exact"/>
            </w:pPr>
            <w:r>
              <w:rPr>
                <w:rFonts w:hint="eastAsia"/>
              </w:rPr>
              <w:t>T，I</w:t>
            </w:r>
          </w:p>
        </w:tc>
        <w:tc>
          <w:tcPr>
            <w:tcW w:w="2613" w:type="dxa"/>
            <w:noWrap w:val="0"/>
            <w:vAlign w:val="center"/>
          </w:tcPr>
          <w:p>
            <w:pPr>
              <w:pStyle w:val="151"/>
              <w:spacing w:line="240" w:lineRule="exact"/>
            </w:pPr>
            <w:r>
              <w:t>废矿物油</w:t>
            </w:r>
            <w:r>
              <w:rPr>
                <w:rFonts w:hint="eastAsia"/>
              </w:rPr>
              <w:t>，</w:t>
            </w:r>
            <w:r>
              <w:t>危险废物HW08（废矿物油与含矿物油废物）</w:t>
            </w:r>
            <w:r>
              <w:rPr>
                <w:rFonts w:hint="eastAsia"/>
              </w:rPr>
              <w:t>,</w:t>
            </w:r>
            <w:r>
              <w:t>危废代码：900-249-8</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rPr>
                <w:rFonts w:hint="eastAsia"/>
              </w:rPr>
              <w:t>外委有资质的危废处置单位处置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noWrap w:val="0"/>
            <w:vAlign w:val="center"/>
          </w:tcPr>
          <w:p>
            <w:pPr>
              <w:pStyle w:val="151"/>
              <w:spacing w:line="240" w:lineRule="exact"/>
            </w:pPr>
            <w:r>
              <w:t>氟橡胶小试</w:t>
            </w:r>
          </w:p>
        </w:tc>
        <w:tc>
          <w:tcPr>
            <w:tcW w:w="916" w:type="dxa"/>
            <w:noWrap w:val="0"/>
            <w:vAlign w:val="center"/>
          </w:tcPr>
          <w:p>
            <w:pPr>
              <w:pStyle w:val="151"/>
              <w:spacing w:line="240" w:lineRule="exact"/>
            </w:pPr>
            <w:r>
              <w:rPr>
                <w:kern w:val="0"/>
              </w:rPr>
              <w:t>压缩机</w:t>
            </w:r>
          </w:p>
        </w:tc>
        <w:tc>
          <w:tcPr>
            <w:tcW w:w="1093" w:type="dxa"/>
            <w:noWrap w:val="0"/>
            <w:vAlign w:val="center"/>
          </w:tcPr>
          <w:p>
            <w:pPr>
              <w:pStyle w:val="151"/>
              <w:spacing w:line="240" w:lineRule="exact"/>
              <w:rPr>
                <w:bCs/>
                <w:spacing w:val="20"/>
              </w:rPr>
            </w:pPr>
            <w:r>
              <w:rPr>
                <w:bCs/>
              </w:rPr>
              <w:t>废油（S</w:t>
            </w:r>
            <w:r>
              <w:rPr>
                <w:bCs/>
                <w:vertAlign w:val="subscript"/>
              </w:rPr>
              <w:t>1-2</w:t>
            </w:r>
            <w:r>
              <w:rPr>
                <w:bCs/>
              </w:rPr>
              <w:t>）</w:t>
            </w:r>
          </w:p>
        </w:tc>
        <w:tc>
          <w:tcPr>
            <w:tcW w:w="711" w:type="dxa"/>
            <w:noWrap w:val="0"/>
            <w:vAlign w:val="center"/>
          </w:tcPr>
          <w:p>
            <w:pPr>
              <w:pStyle w:val="151"/>
              <w:spacing w:line="240" w:lineRule="exact"/>
            </w:pPr>
            <w:r>
              <w:t>0.01</w:t>
            </w:r>
          </w:p>
        </w:tc>
        <w:tc>
          <w:tcPr>
            <w:tcW w:w="506" w:type="dxa"/>
            <w:noWrap w:val="0"/>
            <w:vAlign w:val="top"/>
          </w:tcPr>
          <w:p>
            <w:pPr>
              <w:pStyle w:val="151"/>
              <w:spacing w:line="240" w:lineRule="exact"/>
            </w:pPr>
            <w:r>
              <w:rPr>
                <w:rFonts w:hint="eastAsia"/>
              </w:rPr>
              <w:t>T，I</w:t>
            </w:r>
          </w:p>
        </w:tc>
        <w:tc>
          <w:tcPr>
            <w:tcW w:w="2613" w:type="dxa"/>
            <w:noWrap w:val="0"/>
            <w:vAlign w:val="center"/>
          </w:tcPr>
          <w:p>
            <w:pPr>
              <w:pStyle w:val="151"/>
              <w:spacing w:line="240" w:lineRule="exact"/>
            </w:pPr>
            <w:r>
              <w:t>废矿物油</w:t>
            </w:r>
            <w:r>
              <w:rPr>
                <w:rFonts w:hint="eastAsia"/>
              </w:rPr>
              <w:t>，</w:t>
            </w:r>
            <w:r>
              <w:t>危险废物HW08（废矿物油与含矿物油废物）</w:t>
            </w:r>
            <w:r>
              <w:rPr>
                <w:rFonts w:hint="eastAsia"/>
              </w:rPr>
              <w:t>,</w:t>
            </w:r>
            <w:r>
              <w:t>危废代码：900-249-8</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rPr>
                <w:rFonts w:hint="eastAsia"/>
              </w:rPr>
              <w:t>外委有资质的危废处置单位处置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restart"/>
            <w:noWrap w:val="0"/>
            <w:vAlign w:val="center"/>
          </w:tcPr>
          <w:p>
            <w:pPr>
              <w:pStyle w:val="151"/>
              <w:spacing w:line="240" w:lineRule="exact"/>
            </w:pPr>
            <w:r>
              <w:t>POPVE</w:t>
            </w:r>
          </w:p>
        </w:tc>
        <w:tc>
          <w:tcPr>
            <w:tcW w:w="916" w:type="dxa"/>
            <w:noWrap w:val="0"/>
            <w:vAlign w:val="center"/>
          </w:tcPr>
          <w:p>
            <w:pPr>
              <w:pStyle w:val="140"/>
              <w:spacing w:line="240" w:lineRule="exact"/>
              <w:rPr>
                <w:szCs w:val="18"/>
              </w:rPr>
            </w:pPr>
            <w:r>
              <w:rPr>
                <w:szCs w:val="18"/>
              </w:rPr>
              <w:t>乙腈回收釜</w:t>
            </w:r>
          </w:p>
        </w:tc>
        <w:tc>
          <w:tcPr>
            <w:tcW w:w="1093" w:type="dxa"/>
            <w:noWrap w:val="0"/>
            <w:vAlign w:val="center"/>
          </w:tcPr>
          <w:p>
            <w:pPr>
              <w:pStyle w:val="140"/>
              <w:spacing w:line="240" w:lineRule="exact"/>
              <w:rPr>
                <w:szCs w:val="18"/>
              </w:rPr>
            </w:pPr>
            <w:r>
              <w:rPr>
                <w:szCs w:val="18"/>
              </w:rPr>
              <w:t>溶剂回收残液</w:t>
            </w:r>
            <w:r>
              <w:rPr>
                <w:bCs/>
                <w:szCs w:val="18"/>
              </w:rPr>
              <w:t>（S</w:t>
            </w:r>
            <w:r>
              <w:rPr>
                <w:bCs/>
                <w:szCs w:val="18"/>
                <w:vertAlign w:val="subscript"/>
              </w:rPr>
              <w:t>2-1</w:t>
            </w:r>
            <w:r>
              <w:rPr>
                <w:bCs/>
                <w:szCs w:val="18"/>
              </w:rPr>
              <w:t>）</w:t>
            </w:r>
          </w:p>
        </w:tc>
        <w:tc>
          <w:tcPr>
            <w:tcW w:w="711" w:type="dxa"/>
            <w:noWrap w:val="0"/>
            <w:vAlign w:val="center"/>
          </w:tcPr>
          <w:p>
            <w:pPr>
              <w:pStyle w:val="151"/>
              <w:spacing w:line="240" w:lineRule="exact"/>
            </w:pPr>
            <w:r>
              <w:t>0.21</w:t>
            </w:r>
          </w:p>
        </w:tc>
        <w:tc>
          <w:tcPr>
            <w:tcW w:w="506" w:type="dxa"/>
            <w:noWrap w:val="0"/>
            <w:vAlign w:val="center"/>
          </w:tcPr>
          <w:p>
            <w:pPr>
              <w:pStyle w:val="151"/>
              <w:spacing w:line="240" w:lineRule="exact"/>
            </w:pPr>
            <w:r>
              <w:rPr>
                <w:rFonts w:hint="eastAsia"/>
              </w:rPr>
              <w:t>T</w:t>
            </w:r>
            <w:r>
              <w:t>/I</w:t>
            </w:r>
          </w:p>
        </w:tc>
        <w:tc>
          <w:tcPr>
            <w:tcW w:w="2613" w:type="dxa"/>
            <w:noWrap w:val="0"/>
            <w:vAlign w:val="center"/>
          </w:tcPr>
          <w:p>
            <w:pPr>
              <w:pStyle w:val="151"/>
              <w:spacing w:line="240" w:lineRule="exact"/>
            </w:pPr>
            <w:r>
              <w:t>87% CuCl、13%乙腈</w:t>
            </w:r>
            <w:r>
              <w:rPr>
                <w:rFonts w:hint="eastAsia"/>
              </w:rPr>
              <w:t>，</w:t>
            </w:r>
            <w:r>
              <w:t>危险废物HW06（</w:t>
            </w:r>
            <w:r>
              <w:rPr>
                <w:rFonts w:hint="eastAsia"/>
              </w:rPr>
              <w:t>废有机溶剂与含有机溶剂废物</w:t>
            </w:r>
            <w:r>
              <w:t>）</w:t>
            </w:r>
            <w:r>
              <w:rPr>
                <w:rFonts w:hint="eastAsia"/>
              </w:rPr>
              <w:t>，</w:t>
            </w:r>
            <w:r>
              <w:t>危废代码：900-404-06</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三聚物精馏塔</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2-2</w:t>
            </w:r>
            <w:r>
              <w:rPr>
                <w:bCs/>
                <w:szCs w:val="18"/>
              </w:rPr>
              <w:t>）</w:t>
            </w:r>
          </w:p>
        </w:tc>
        <w:tc>
          <w:tcPr>
            <w:tcW w:w="711" w:type="dxa"/>
            <w:noWrap w:val="0"/>
            <w:vAlign w:val="center"/>
          </w:tcPr>
          <w:p>
            <w:pPr>
              <w:pStyle w:val="151"/>
              <w:spacing w:line="240" w:lineRule="exact"/>
            </w:pPr>
            <w:r>
              <w:t>0.59</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51"/>
              <w:spacing w:line="240" w:lineRule="exact"/>
            </w:pPr>
            <w:r>
              <w:t>99%多聚物</w:t>
            </w:r>
            <w:r>
              <w:rPr>
                <w:rFonts w:hint="eastAsia"/>
              </w:rPr>
              <w:t>，</w:t>
            </w:r>
            <w:r>
              <w:t>危险废物HW45（</w:t>
            </w:r>
            <w:r>
              <w:rPr>
                <w:rFonts w:hint="eastAsia"/>
              </w:rPr>
              <w:t>含有机卤化物废物</w:t>
            </w:r>
            <w:r>
              <w:t>）</w:t>
            </w:r>
            <w:r>
              <w:rPr>
                <w:rFonts w:hint="eastAsia"/>
              </w:rPr>
              <w:t>，</w:t>
            </w:r>
            <w: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旋转蒸发器</w:t>
            </w:r>
          </w:p>
        </w:tc>
        <w:tc>
          <w:tcPr>
            <w:tcW w:w="1093" w:type="dxa"/>
            <w:noWrap w:val="0"/>
            <w:vAlign w:val="center"/>
          </w:tcPr>
          <w:p>
            <w:pPr>
              <w:pStyle w:val="140"/>
              <w:spacing w:line="240" w:lineRule="exact"/>
              <w:rPr>
                <w:szCs w:val="18"/>
              </w:rPr>
            </w:pPr>
            <w:r>
              <w:rPr>
                <w:szCs w:val="18"/>
              </w:rPr>
              <w:t>反应残渣</w:t>
            </w:r>
            <w:r>
              <w:rPr>
                <w:bCs/>
                <w:szCs w:val="18"/>
              </w:rPr>
              <w:t>（S</w:t>
            </w:r>
            <w:r>
              <w:rPr>
                <w:bCs/>
                <w:szCs w:val="18"/>
                <w:vertAlign w:val="subscript"/>
              </w:rPr>
              <w:t>2-3</w:t>
            </w:r>
            <w:r>
              <w:rPr>
                <w:bCs/>
                <w:szCs w:val="18"/>
              </w:rPr>
              <w:t>）</w:t>
            </w:r>
          </w:p>
        </w:tc>
        <w:tc>
          <w:tcPr>
            <w:tcW w:w="711" w:type="dxa"/>
            <w:noWrap w:val="0"/>
            <w:vAlign w:val="center"/>
          </w:tcPr>
          <w:p>
            <w:pPr>
              <w:pStyle w:val="151"/>
              <w:spacing w:line="240" w:lineRule="exact"/>
            </w:pPr>
            <w:r>
              <w:t>0.39</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51"/>
              <w:spacing w:line="240" w:lineRule="exact"/>
            </w:pPr>
            <w:r>
              <w:t>99%KF</w:t>
            </w:r>
            <w:r>
              <w:rPr>
                <w:rFonts w:hint="eastAsia"/>
              </w:rPr>
              <w:t>，</w:t>
            </w:r>
            <w:r>
              <w:t>危险废物HW45（</w:t>
            </w:r>
            <w:r>
              <w:rPr>
                <w:rFonts w:hint="eastAsia"/>
              </w:rPr>
              <w:t>含有机卤化物废物</w:t>
            </w:r>
            <w:r>
              <w:t>）</w:t>
            </w:r>
            <w:r>
              <w:rPr>
                <w:rFonts w:hint="eastAsia"/>
              </w:rPr>
              <w:t>，</w:t>
            </w:r>
            <w: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rPr>
                <w:rFonts w:hint="eastAsia"/>
              </w:rPr>
              <w:t>外委有资质的危废处置单位处置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乙醇精馏塔</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2-4</w:t>
            </w:r>
            <w:r>
              <w:rPr>
                <w:bCs/>
                <w:szCs w:val="18"/>
              </w:rPr>
              <w:t>）</w:t>
            </w:r>
          </w:p>
        </w:tc>
        <w:tc>
          <w:tcPr>
            <w:tcW w:w="711" w:type="dxa"/>
            <w:noWrap w:val="0"/>
            <w:vAlign w:val="center"/>
          </w:tcPr>
          <w:p>
            <w:pPr>
              <w:pStyle w:val="151"/>
              <w:spacing w:line="240" w:lineRule="exact"/>
            </w:pPr>
            <w:r>
              <w:t>0.23</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99%多聚物</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POPVE精馏塔</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2-5</w:t>
            </w:r>
            <w:r>
              <w:rPr>
                <w:bCs/>
                <w:szCs w:val="18"/>
              </w:rPr>
              <w:t>）</w:t>
            </w:r>
          </w:p>
        </w:tc>
        <w:tc>
          <w:tcPr>
            <w:tcW w:w="711" w:type="dxa"/>
            <w:noWrap w:val="0"/>
            <w:vAlign w:val="center"/>
          </w:tcPr>
          <w:p>
            <w:pPr>
              <w:pStyle w:val="151"/>
              <w:spacing w:line="240" w:lineRule="exact"/>
            </w:pPr>
            <w:r>
              <w:t>0.03</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99%多聚物</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restart"/>
            <w:noWrap w:val="0"/>
            <w:vAlign w:val="center"/>
          </w:tcPr>
          <w:p>
            <w:pPr>
              <w:pStyle w:val="151"/>
              <w:spacing w:line="240" w:lineRule="exact"/>
            </w:pPr>
            <w:r>
              <w:t>MOVE生产车间</w:t>
            </w:r>
          </w:p>
        </w:tc>
        <w:tc>
          <w:tcPr>
            <w:tcW w:w="916" w:type="dxa"/>
            <w:noWrap w:val="0"/>
            <w:vAlign w:val="center"/>
          </w:tcPr>
          <w:p>
            <w:pPr>
              <w:pStyle w:val="140"/>
              <w:spacing w:line="240" w:lineRule="exact"/>
              <w:rPr>
                <w:szCs w:val="18"/>
              </w:rPr>
            </w:pPr>
            <w:r>
              <w:rPr>
                <w:szCs w:val="18"/>
              </w:rPr>
              <w:t>电解槽1</w:t>
            </w:r>
          </w:p>
        </w:tc>
        <w:tc>
          <w:tcPr>
            <w:tcW w:w="1093" w:type="dxa"/>
            <w:noWrap w:val="0"/>
            <w:vAlign w:val="center"/>
          </w:tcPr>
          <w:p>
            <w:pPr>
              <w:pStyle w:val="140"/>
              <w:spacing w:line="240" w:lineRule="exact"/>
              <w:rPr>
                <w:szCs w:val="18"/>
              </w:rPr>
            </w:pPr>
            <w:r>
              <w:rPr>
                <w:szCs w:val="18"/>
              </w:rPr>
              <w:t>电解槽废液</w:t>
            </w:r>
            <w:r>
              <w:rPr>
                <w:bCs/>
                <w:szCs w:val="18"/>
              </w:rPr>
              <w:t>（S</w:t>
            </w:r>
            <w:r>
              <w:rPr>
                <w:bCs/>
                <w:szCs w:val="18"/>
                <w:vertAlign w:val="subscript"/>
              </w:rPr>
              <w:t>3-1</w:t>
            </w:r>
            <w:r>
              <w:rPr>
                <w:bCs/>
                <w:szCs w:val="18"/>
              </w:rPr>
              <w:t>）</w:t>
            </w:r>
          </w:p>
        </w:tc>
        <w:tc>
          <w:tcPr>
            <w:tcW w:w="711" w:type="dxa"/>
            <w:noWrap w:val="0"/>
            <w:vAlign w:val="center"/>
          </w:tcPr>
          <w:p>
            <w:pPr>
              <w:pStyle w:val="151"/>
              <w:spacing w:line="240" w:lineRule="exact"/>
            </w:pPr>
            <w:r>
              <w:t>5</w:t>
            </w:r>
          </w:p>
        </w:tc>
        <w:tc>
          <w:tcPr>
            <w:tcW w:w="506" w:type="dxa"/>
            <w:noWrap w:val="0"/>
            <w:vAlign w:val="center"/>
          </w:tcPr>
          <w:p>
            <w:pPr>
              <w:pStyle w:val="151"/>
              <w:spacing w:line="240" w:lineRule="exact"/>
            </w:pPr>
            <w:r>
              <w:rPr>
                <w:rFonts w:hint="eastAsia"/>
              </w:rPr>
              <w:t>T，C</w:t>
            </w:r>
          </w:p>
        </w:tc>
        <w:tc>
          <w:tcPr>
            <w:tcW w:w="2613" w:type="dxa"/>
            <w:noWrap w:val="0"/>
            <w:vAlign w:val="center"/>
          </w:tcPr>
          <w:p>
            <w:pPr>
              <w:pStyle w:val="140"/>
              <w:spacing w:line="240" w:lineRule="exact"/>
              <w:rPr>
                <w:szCs w:val="18"/>
              </w:rPr>
            </w:pPr>
            <w:r>
              <w:rPr>
                <w:szCs w:val="18"/>
              </w:rPr>
              <w:t>KF、KF·HF、KF·2HF等99%以上</w:t>
            </w:r>
            <w:r>
              <w:rPr>
                <w:rFonts w:hint="eastAsia"/>
                <w:szCs w:val="18"/>
              </w:rPr>
              <w:t>，</w:t>
            </w:r>
            <w:r>
              <w:rPr>
                <w:szCs w:val="18"/>
              </w:rPr>
              <w:t>危险废物HW32（</w:t>
            </w:r>
            <w:r>
              <w:rPr>
                <w:rFonts w:hint="eastAsia"/>
                <w:szCs w:val="18"/>
              </w:rPr>
              <w:t>无机氟化物废物</w:t>
            </w:r>
            <w:r>
              <w:rPr>
                <w:szCs w:val="18"/>
              </w:rPr>
              <w:t>）</w:t>
            </w:r>
            <w:r>
              <w:rPr>
                <w:rFonts w:hint="eastAsia"/>
                <w:szCs w:val="18"/>
              </w:rPr>
              <w:t>，</w:t>
            </w:r>
            <w:r>
              <w:rPr>
                <w:szCs w:val="18"/>
              </w:rPr>
              <w:t>危废代码：900-026-32</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rPr>
                <w:rFonts w:hint="eastAsia"/>
              </w:rPr>
              <w:t>外委给具备回收资质的生产厂家进行回收</w:t>
            </w:r>
          </w:p>
          <w:p>
            <w:pPr>
              <w:pStyle w:val="151"/>
              <w:spacing w:line="240" w:lineRule="exact"/>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电解槽2</w:t>
            </w:r>
          </w:p>
        </w:tc>
        <w:tc>
          <w:tcPr>
            <w:tcW w:w="1093" w:type="dxa"/>
            <w:noWrap w:val="0"/>
            <w:vAlign w:val="center"/>
          </w:tcPr>
          <w:p>
            <w:pPr>
              <w:pStyle w:val="140"/>
              <w:spacing w:line="240" w:lineRule="exact"/>
              <w:rPr>
                <w:szCs w:val="18"/>
              </w:rPr>
            </w:pPr>
            <w:r>
              <w:rPr>
                <w:szCs w:val="18"/>
              </w:rPr>
              <w:t>电解槽废液</w:t>
            </w:r>
            <w:r>
              <w:rPr>
                <w:bCs/>
                <w:szCs w:val="18"/>
              </w:rPr>
              <w:t>（S</w:t>
            </w:r>
            <w:r>
              <w:rPr>
                <w:bCs/>
                <w:szCs w:val="18"/>
                <w:vertAlign w:val="subscript"/>
              </w:rPr>
              <w:t>3-2</w:t>
            </w:r>
            <w:r>
              <w:rPr>
                <w:bCs/>
                <w:szCs w:val="18"/>
              </w:rPr>
              <w:t>）</w:t>
            </w:r>
          </w:p>
        </w:tc>
        <w:tc>
          <w:tcPr>
            <w:tcW w:w="711" w:type="dxa"/>
            <w:noWrap w:val="0"/>
            <w:vAlign w:val="center"/>
          </w:tcPr>
          <w:p>
            <w:pPr>
              <w:pStyle w:val="151"/>
              <w:spacing w:line="240" w:lineRule="exact"/>
            </w:pPr>
            <w:r>
              <w:t>5</w:t>
            </w:r>
          </w:p>
        </w:tc>
        <w:tc>
          <w:tcPr>
            <w:tcW w:w="506" w:type="dxa"/>
            <w:noWrap w:val="0"/>
            <w:vAlign w:val="center"/>
          </w:tcPr>
          <w:p>
            <w:pPr>
              <w:pStyle w:val="151"/>
              <w:spacing w:line="240" w:lineRule="exact"/>
            </w:pPr>
            <w:r>
              <w:rPr>
                <w:rFonts w:hint="eastAsia"/>
              </w:rPr>
              <w:t>T，C</w:t>
            </w:r>
          </w:p>
        </w:tc>
        <w:tc>
          <w:tcPr>
            <w:tcW w:w="2613" w:type="dxa"/>
            <w:noWrap w:val="0"/>
            <w:vAlign w:val="center"/>
          </w:tcPr>
          <w:p>
            <w:pPr>
              <w:pStyle w:val="140"/>
              <w:spacing w:line="240" w:lineRule="exact"/>
              <w:rPr>
                <w:szCs w:val="18"/>
              </w:rPr>
            </w:pPr>
            <w:r>
              <w:rPr>
                <w:szCs w:val="18"/>
              </w:rPr>
              <w:t>KF、KF·HF、KF·2HF等99%以上</w:t>
            </w:r>
            <w:r>
              <w:rPr>
                <w:rFonts w:hint="eastAsia"/>
                <w:szCs w:val="18"/>
              </w:rPr>
              <w:t>，</w:t>
            </w:r>
            <w:r>
              <w:rPr>
                <w:szCs w:val="18"/>
              </w:rPr>
              <w:t>危险废物HW32（</w:t>
            </w:r>
            <w:r>
              <w:rPr>
                <w:rFonts w:hint="eastAsia"/>
                <w:szCs w:val="18"/>
              </w:rPr>
              <w:t>无机氟化物废物</w:t>
            </w:r>
            <w:r>
              <w:rPr>
                <w:szCs w:val="18"/>
              </w:rPr>
              <w:t>）</w:t>
            </w:r>
            <w:r>
              <w:rPr>
                <w:rFonts w:hint="eastAsia"/>
                <w:szCs w:val="18"/>
              </w:rPr>
              <w:t>，</w:t>
            </w:r>
            <w:r>
              <w:rPr>
                <w:szCs w:val="18"/>
              </w:rPr>
              <w:t>危废代码：900-026-32</w:t>
            </w:r>
          </w:p>
        </w:tc>
        <w:tc>
          <w:tcPr>
            <w:tcW w:w="419" w:type="dxa"/>
            <w:noWrap w:val="0"/>
            <w:vAlign w:val="center"/>
          </w:tcPr>
          <w:p>
            <w:pPr>
              <w:pStyle w:val="151"/>
              <w:spacing w:line="240" w:lineRule="exact"/>
            </w:pPr>
            <w:r>
              <w:rPr>
                <w:rFonts w:hint="eastAsia"/>
              </w:rPr>
              <w:t>间歇</w:t>
            </w:r>
          </w:p>
        </w:tc>
        <w:tc>
          <w:tcPr>
            <w:tcW w:w="1332" w:type="dxa"/>
            <w:noWrap w:val="0"/>
            <w:vAlign w:val="top"/>
          </w:tcPr>
          <w:p>
            <w:pPr>
              <w:pStyle w:val="151"/>
              <w:spacing w:line="240" w:lineRule="exact"/>
            </w:pPr>
            <w:r>
              <w:rPr>
                <w:rFonts w:hint="eastAsia" w:ascii="宋体" w:hAnsi="宋体"/>
              </w:rPr>
              <w:t>外委给具备回收资质的生产厂家进行回收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电解槽3</w:t>
            </w:r>
          </w:p>
        </w:tc>
        <w:tc>
          <w:tcPr>
            <w:tcW w:w="1093" w:type="dxa"/>
            <w:noWrap w:val="0"/>
            <w:vAlign w:val="center"/>
          </w:tcPr>
          <w:p>
            <w:pPr>
              <w:pStyle w:val="140"/>
              <w:spacing w:line="240" w:lineRule="exact"/>
              <w:rPr>
                <w:szCs w:val="18"/>
              </w:rPr>
            </w:pPr>
            <w:r>
              <w:rPr>
                <w:szCs w:val="18"/>
              </w:rPr>
              <w:t>电解槽废液</w:t>
            </w:r>
            <w:r>
              <w:rPr>
                <w:bCs/>
                <w:szCs w:val="18"/>
              </w:rPr>
              <w:t>（S</w:t>
            </w:r>
            <w:r>
              <w:rPr>
                <w:bCs/>
                <w:szCs w:val="18"/>
                <w:vertAlign w:val="subscript"/>
              </w:rPr>
              <w:t>3-3</w:t>
            </w:r>
            <w:r>
              <w:rPr>
                <w:bCs/>
                <w:szCs w:val="18"/>
              </w:rPr>
              <w:t>）</w:t>
            </w:r>
          </w:p>
        </w:tc>
        <w:tc>
          <w:tcPr>
            <w:tcW w:w="711" w:type="dxa"/>
            <w:noWrap w:val="0"/>
            <w:vAlign w:val="center"/>
          </w:tcPr>
          <w:p>
            <w:pPr>
              <w:pStyle w:val="151"/>
              <w:spacing w:line="240" w:lineRule="exact"/>
            </w:pPr>
            <w:r>
              <w:t>2.7</w:t>
            </w:r>
          </w:p>
        </w:tc>
        <w:tc>
          <w:tcPr>
            <w:tcW w:w="506" w:type="dxa"/>
            <w:noWrap w:val="0"/>
            <w:vAlign w:val="center"/>
          </w:tcPr>
          <w:p>
            <w:pPr>
              <w:pStyle w:val="151"/>
              <w:spacing w:line="240" w:lineRule="exact"/>
            </w:pPr>
            <w:r>
              <w:rPr>
                <w:rFonts w:hint="eastAsia"/>
              </w:rPr>
              <w:t>T，C</w:t>
            </w:r>
          </w:p>
        </w:tc>
        <w:tc>
          <w:tcPr>
            <w:tcW w:w="2613" w:type="dxa"/>
            <w:noWrap w:val="0"/>
            <w:vAlign w:val="center"/>
          </w:tcPr>
          <w:p>
            <w:pPr>
              <w:pStyle w:val="140"/>
              <w:spacing w:line="240" w:lineRule="exact"/>
              <w:rPr>
                <w:szCs w:val="18"/>
              </w:rPr>
            </w:pPr>
            <w:r>
              <w:rPr>
                <w:szCs w:val="18"/>
              </w:rPr>
              <w:t>KF、KF·HF、KF·2HF等99%以上</w:t>
            </w:r>
            <w:r>
              <w:rPr>
                <w:rFonts w:hint="eastAsia"/>
                <w:szCs w:val="18"/>
              </w:rPr>
              <w:t>，</w:t>
            </w:r>
            <w:r>
              <w:rPr>
                <w:szCs w:val="18"/>
              </w:rPr>
              <w:t>危险废物HW32（</w:t>
            </w:r>
            <w:r>
              <w:rPr>
                <w:rFonts w:hint="eastAsia"/>
                <w:szCs w:val="18"/>
              </w:rPr>
              <w:t>无机氟化物废物</w:t>
            </w:r>
            <w:r>
              <w:rPr>
                <w:szCs w:val="18"/>
              </w:rPr>
              <w:t>）</w:t>
            </w:r>
            <w:r>
              <w:rPr>
                <w:rFonts w:hint="eastAsia"/>
                <w:szCs w:val="18"/>
              </w:rPr>
              <w:t>，</w:t>
            </w:r>
            <w:r>
              <w:rPr>
                <w:szCs w:val="18"/>
              </w:rPr>
              <w:t>危废代码：900-026-32</w:t>
            </w:r>
          </w:p>
        </w:tc>
        <w:tc>
          <w:tcPr>
            <w:tcW w:w="419" w:type="dxa"/>
            <w:noWrap w:val="0"/>
            <w:vAlign w:val="center"/>
          </w:tcPr>
          <w:p>
            <w:pPr>
              <w:pStyle w:val="151"/>
              <w:spacing w:line="240" w:lineRule="exact"/>
            </w:pPr>
            <w:r>
              <w:rPr>
                <w:rFonts w:hint="eastAsia"/>
              </w:rPr>
              <w:t>间歇</w:t>
            </w:r>
          </w:p>
        </w:tc>
        <w:tc>
          <w:tcPr>
            <w:tcW w:w="1332" w:type="dxa"/>
            <w:noWrap w:val="0"/>
            <w:vAlign w:val="top"/>
          </w:tcPr>
          <w:p>
            <w:pPr>
              <w:pStyle w:val="151"/>
              <w:spacing w:line="240" w:lineRule="exact"/>
            </w:pPr>
            <w:r>
              <w:rPr>
                <w:rFonts w:hint="eastAsia" w:ascii="宋体" w:hAnsi="宋体"/>
              </w:rPr>
              <w:t>外委给具备回收资质的生产厂家进行回收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MOVE加成物精馏塔2#</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3-4</w:t>
            </w:r>
            <w:r>
              <w:rPr>
                <w:bCs/>
                <w:szCs w:val="18"/>
              </w:rPr>
              <w:t>）</w:t>
            </w:r>
          </w:p>
        </w:tc>
        <w:tc>
          <w:tcPr>
            <w:tcW w:w="711" w:type="dxa"/>
            <w:noWrap w:val="0"/>
            <w:vAlign w:val="center"/>
          </w:tcPr>
          <w:p>
            <w:pPr>
              <w:pStyle w:val="151"/>
              <w:spacing w:line="240" w:lineRule="exact"/>
            </w:pPr>
            <w:r>
              <w:t>1.88</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有机氟化物</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MOVE常压精馏塔</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3-5</w:t>
            </w:r>
            <w:r>
              <w:rPr>
                <w:bCs/>
                <w:szCs w:val="18"/>
              </w:rPr>
              <w:t>）</w:t>
            </w:r>
          </w:p>
        </w:tc>
        <w:tc>
          <w:tcPr>
            <w:tcW w:w="711" w:type="dxa"/>
            <w:noWrap w:val="0"/>
            <w:vAlign w:val="center"/>
          </w:tcPr>
          <w:p>
            <w:pPr>
              <w:pStyle w:val="151"/>
              <w:spacing w:line="240" w:lineRule="exact"/>
            </w:pPr>
            <w:r>
              <w:t>0.04</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有机氟化物</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PMVE加成物精馏塔1#冷凝器</w:t>
            </w:r>
          </w:p>
        </w:tc>
        <w:tc>
          <w:tcPr>
            <w:tcW w:w="1093" w:type="dxa"/>
            <w:noWrap w:val="0"/>
            <w:vAlign w:val="center"/>
          </w:tcPr>
          <w:p>
            <w:pPr>
              <w:pStyle w:val="140"/>
              <w:spacing w:line="240" w:lineRule="exact"/>
              <w:rPr>
                <w:szCs w:val="18"/>
              </w:rPr>
            </w:pPr>
            <w:r>
              <w:rPr>
                <w:szCs w:val="18"/>
              </w:rPr>
              <w:t>冷凝液</w:t>
            </w:r>
            <w:r>
              <w:rPr>
                <w:bCs/>
                <w:szCs w:val="18"/>
              </w:rPr>
              <w:t>（S</w:t>
            </w:r>
            <w:r>
              <w:rPr>
                <w:bCs/>
                <w:szCs w:val="18"/>
                <w:vertAlign w:val="subscript"/>
              </w:rPr>
              <w:t>3-6</w:t>
            </w:r>
            <w:r>
              <w:rPr>
                <w:bCs/>
                <w:szCs w:val="18"/>
              </w:rPr>
              <w:t>）</w:t>
            </w:r>
          </w:p>
        </w:tc>
        <w:tc>
          <w:tcPr>
            <w:tcW w:w="711" w:type="dxa"/>
            <w:noWrap w:val="0"/>
            <w:vAlign w:val="center"/>
          </w:tcPr>
          <w:p>
            <w:pPr>
              <w:pStyle w:val="151"/>
              <w:spacing w:line="240" w:lineRule="exact"/>
            </w:pPr>
            <w:r>
              <w:t>2.3</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有机氟化物</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PMVE加成物精馏塔2#</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3-7</w:t>
            </w:r>
            <w:r>
              <w:rPr>
                <w:bCs/>
                <w:szCs w:val="18"/>
              </w:rPr>
              <w:t>）</w:t>
            </w:r>
          </w:p>
        </w:tc>
        <w:tc>
          <w:tcPr>
            <w:tcW w:w="711" w:type="dxa"/>
            <w:noWrap w:val="0"/>
            <w:vAlign w:val="center"/>
          </w:tcPr>
          <w:p>
            <w:pPr>
              <w:pStyle w:val="151"/>
              <w:spacing w:line="240" w:lineRule="exact"/>
            </w:pPr>
            <w:r>
              <w:t>16.4</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有机氟化物</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过滤器</w:t>
            </w:r>
          </w:p>
        </w:tc>
        <w:tc>
          <w:tcPr>
            <w:tcW w:w="1093" w:type="dxa"/>
            <w:noWrap w:val="0"/>
            <w:vAlign w:val="center"/>
          </w:tcPr>
          <w:p>
            <w:pPr>
              <w:pStyle w:val="140"/>
              <w:spacing w:line="240" w:lineRule="exact"/>
              <w:rPr>
                <w:szCs w:val="18"/>
              </w:rPr>
            </w:pPr>
            <w:r>
              <w:rPr>
                <w:szCs w:val="18"/>
              </w:rPr>
              <w:t>滤渣</w:t>
            </w:r>
            <w:r>
              <w:rPr>
                <w:bCs/>
                <w:szCs w:val="18"/>
              </w:rPr>
              <w:t>（S</w:t>
            </w:r>
            <w:r>
              <w:rPr>
                <w:bCs/>
                <w:szCs w:val="18"/>
                <w:vertAlign w:val="subscript"/>
              </w:rPr>
              <w:t>3-8</w:t>
            </w:r>
            <w:r>
              <w:rPr>
                <w:bCs/>
                <w:szCs w:val="18"/>
              </w:rPr>
              <w:t>）</w:t>
            </w:r>
          </w:p>
        </w:tc>
        <w:tc>
          <w:tcPr>
            <w:tcW w:w="711" w:type="dxa"/>
            <w:noWrap w:val="0"/>
            <w:vAlign w:val="center"/>
          </w:tcPr>
          <w:p>
            <w:pPr>
              <w:pStyle w:val="151"/>
              <w:spacing w:line="240" w:lineRule="exact"/>
            </w:pPr>
            <w:r>
              <w:t>12</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锌粉(32%)、氯化锌(65%)</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rPr>
                <w:rFonts w:hint="eastAsia"/>
              </w:rPr>
              <w:t>外委有资质的危废处置单位处置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DMF精馏塔</w:t>
            </w:r>
          </w:p>
        </w:tc>
        <w:tc>
          <w:tcPr>
            <w:tcW w:w="1093" w:type="dxa"/>
            <w:noWrap w:val="0"/>
            <w:vAlign w:val="center"/>
          </w:tcPr>
          <w:p>
            <w:pPr>
              <w:pStyle w:val="140"/>
              <w:spacing w:line="240" w:lineRule="exact"/>
              <w:rPr>
                <w:szCs w:val="18"/>
              </w:rPr>
            </w:pPr>
            <w:r>
              <w:rPr>
                <w:szCs w:val="18"/>
              </w:rPr>
              <w:t>精馏残液</w:t>
            </w:r>
            <w:r>
              <w:rPr>
                <w:bCs/>
                <w:szCs w:val="18"/>
              </w:rPr>
              <w:t>（S</w:t>
            </w:r>
            <w:r>
              <w:rPr>
                <w:bCs/>
                <w:szCs w:val="18"/>
                <w:vertAlign w:val="subscript"/>
              </w:rPr>
              <w:t>3-9</w:t>
            </w:r>
            <w:r>
              <w:rPr>
                <w:bCs/>
                <w:szCs w:val="18"/>
              </w:rPr>
              <w:t>）</w:t>
            </w:r>
          </w:p>
        </w:tc>
        <w:tc>
          <w:tcPr>
            <w:tcW w:w="711" w:type="dxa"/>
            <w:noWrap w:val="0"/>
            <w:vAlign w:val="center"/>
          </w:tcPr>
          <w:p>
            <w:pPr>
              <w:pStyle w:val="151"/>
              <w:spacing w:line="240" w:lineRule="exact"/>
            </w:pPr>
            <w:r>
              <w:t>3.1</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DMF(90%)、氯化锌(5%)</w:t>
            </w:r>
            <w:r>
              <w:rPr>
                <w:rFonts w:hint="eastAsia"/>
                <w:szCs w:val="18"/>
              </w:rPr>
              <w:t>，</w:t>
            </w:r>
            <w:r>
              <w:rPr>
                <w:szCs w:val="18"/>
              </w:rPr>
              <w:t>危险废物HW45（</w:t>
            </w:r>
            <w:r>
              <w:rPr>
                <w:rFonts w:hint="eastAsia"/>
                <w:szCs w:val="18"/>
              </w:rPr>
              <w:t>含有机卤化物废物</w:t>
            </w:r>
            <w:r>
              <w:rPr>
                <w:szCs w:val="18"/>
              </w:rPr>
              <w:t>）</w:t>
            </w:r>
            <w:r>
              <w:rPr>
                <w:rFonts w:hint="eastAsia"/>
                <w:szCs w:val="18"/>
              </w:rPr>
              <w:t>，</w:t>
            </w:r>
            <w:r>
              <w:rPr>
                <w:szCs w:val="18"/>
              </w:rPr>
              <w:t>危废代码：261-084-45</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restart"/>
            <w:noWrap w:val="0"/>
            <w:vAlign w:val="center"/>
          </w:tcPr>
          <w:p>
            <w:pPr>
              <w:pStyle w:val="151"/>
              <w:spacing w:line="240" w:lineRule="exact"/>
            </w:pPr>
            <w:r>
              <w:t>质检楼</w:t>
            </w:r>
          </w:p>
        </w:tc>
        <w:tc>
          <w:tcPr>
            <w:tcW w:w="916" w:type="dxa"/>
            <w:noWrap w:val="0"/>
            <w:vAlign w:val="center"/>
          </w:tcPr>
          <w:p>
            <w:pPr>
              <w:pStyle w:val="140"/>
              <w:spacing w:line="240" w:lineRule="exact"/>
              <w:rPr>
                <w:szCs w:val="18"/>
              </w:rPr>
            </w:pPr>
            <w:r>
              <w:rPr>
                <w:szCs w:val="18"/>
              </w:rPr>
              <w:t>实验仪器</w:t>
            </w:r>
          </w:p>
        </w:tc>
        <w:tc>
          <w:tcPr>
            <w:tcW w:w="1093" w:type="dxa"/>
            <w:noWrap w:val="0"/>
            <w:vAlign w:val="center"/>
          </w:tcPr>
          <w:p>
            <w:pPr>
              <w:pStyle w:val="140"/>
              <w:spacing w:line="240" w:lineRule="exact"/>
              <w:rPr>
                <w:szCs w:val="18"/>
              </w:rPr>
            </w:pPr>
            <w:r>
              <w:rPr>
                <w:szCs w:val="18"/>
              </w:rPr>
              <w:t>一般固废</w:t>
            </w:r>
            <w:r>
              <w:rPr>
                <w:bCs/>
                <w:szCs w:val="18"/>
              </w:rPr>
              <w:t>（S</w:t>
            </w:r>
            <w:r>
              <w:rPr>
                <w:bCs/>
                <w:szCs w:val="18"/>
                <w:vertAlign w:val="subscript"/>
              </w:rPr>
              <w:t>5-1</w:t>
            </w:r>
            <w:r>
              <w:rPr>
                <w:bCs/>
                <w:szCs w:val="18"/>
              </w:rPr>
              <w:t>）</w:t>
            </w:r>
          </w:p>
        </w:tc>
        <w:tc>
          <w:tcPr>
            <w:tcW w:w="711" w:type="dxa"/>
            <w:noWrap w:val="0"/>
            <w:vAlign w:val="center"/>
          </w:tcPr>
          <w:p>
            <w:pPr>
              <w:pStyle w:val="151"/>
              <w:spacing w:line="240" w:lineRule="exact"/>
            </w:pPr>
            <w:r>
              <w:t>0.48</w:t>
            </w:r>
          </w:p>
        </w:tc>
        <w:tc>
          <w:tcPr>
            <w:tcW w:w="506" w:type="dxa"/>
            <w:noWrap w:val="0"/>
            <w:vAlign w:val="center"/>
          </w:tcPr>
          <w:p>
            <w:pPr>
              <w:pStyle w:val="151"/>
              <w:spacing w:line="240" w:lineRule="exact"/>
            </w:pPr>
            <w:r>
              <w:rPr>
                <w:rFonts w:hint="eastAsia"/>
              </w:rPr>
              <w:t>/</w:t>
            </w:r>
          </w:p>
        </w:tc>
        <w:tc>
          <w:tcPr>
            <w:tcW w:w="2613" w:type="dxa"/>
            <w:noWrap w:val="0"/>
            <w:vAlign w:val="center"/>
          </w:tcPr>
          <w:p>
            <w:pPr>
              <w:pStyle w:val="140"/>
              <w:spacing w:line="240" w:lineRule="exact"/>
              <w:rPr>
                <w:szCs w:val="18"/>
              </w:rPr>
            </w:pPr>
            <w:r>
              <w:rPr>
                <w:szCs w:val="18"/>
              </w:rPr>
              <w:t>废橡胶</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作为等外品外售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实验仪器</w:t>
            </w:r>
          </w:p>
        </w:tc>
        <w:tc>
          <w:tcPr>
            <w:tcW w:w="1093" w:type="dxa"/>
            <w:noWrap w:val="0"/>
            <w:vAlign w:val="center"/>
          </w:tcPr>
          <w:p>
            <w:pPr>
              <w:pStyle w:val="140"/>
              <w:spacing w:line="240" w:lineRule="exact"/>
              <w:rPr>
                <w:szCs w:val="18"/>
              </w:rPr>
            </w:pPr>
            <w:r>
              <w:rPr>
                <w:szCs w:val="18"/>
              </w:rPr>
              <w:t>废有机溶剂</w:t>
            </w:r>
            <w:r>
              <w:rPr>
                <w:bCs/>
                <w:szCs w:val="18"/>
              </w:rPr>
              <w:t>（S</w:t>
            </w:r>
            <w:r>
              <w:rPr>
                <w:bCs/>
                <w:szCs w:val="18"/>
                <w:vertAlign w:val="subscript"/>
              </w:rPr>
              <w:t>5-2</w:t>
            </w:r>
            <w:r>
              <w:rPr>
                <w:bCs/>
                <w:szCs w:val="18"/>
              </w:rPr>
              <w:t>）</w:t>
            </w:r>
          </w:p>
        </w:tc>
        <w:tc>
          <w:tcPr>
            <w:tcW w:w="711" w:type="dxa"/>
            <w:noWrap w:val="0"/>
            <w:vAlign w:val="center"/>
          </w:tcPr>
          <w:p>
            <w:pPr>
              <w:pStyle w:val="151"/>
              <w:spacing w:line="240" w:lineRule="exact"/>
            </w:pPr>
            <w:r>
              <w:t>0.5</w:t>
            </w:r>
          </w:p>
        </w:tc>
        <w:tc>
          <w:tcPr>
            <w:tcW w:w="506" w:type="dxa"/>
            <w:noWrap w:val="0"/>
            <w:vAlign w:val="center"/>
          </w:tcPr>
          <w:p>
            <w:pPr>
              <w:pStyle w:val="151"/>
              <w:spacing w:line="240" w:lineRule="exact"/>
            </w:pPr>
            <w:r>
              <w:rPr>
                <w:rFonts w:hint="eastAsia"/>
              </w:rPr>
              <w:t>T</w:t>
            </w:r>
            <w:r>
              <w:t>/I</w:t>
            </w:r>
          </w:p>
        </w:tc>
        <w:tc>
          <w:tcPr>
            <w:tcW w:w="2613" w:type="dxa"/>
            <w:noWrap w:val="0"/>
            <w:vAlign w:val="center"/>
          </w:tcPr>
          <w:p>
            <w:pPr>
              <w:pStyle w:val="140"/>
              <w:spacing w:line="240" w:lineRule="exact"/>
              <w:rPr>
                <w:szCs w:val="18"/>
              </w:rPr>
            </w:pPr>
            <w:r>
              <w:rPr>
                <w:szCs w:val="18"/>
              </w:rPr>
              <w:t>废有机溶剂等</w:t>
            </w:r>
            <w:r>
              <w:rPr>
                <w:rFonts w:hint="eastAsia"/>
                <w:szCs w:val="18"/>
              </w:rPr>
              <w:t>，</w:t>
            </w:r>
            <w:r>
              <w:rPr>
                <w:szCs w:val="18"/>
              </w:rPr>
              <w:t>危险废物HW06（</w:t>
            </w:r>
            <w:r>
              <w:rPr>
                <w:rFonts w:hint="eastAsia"/>
                <w:szCs w:val="18"/>
              </w:rPr>
              <w:t>废有机溶剂与含有机溶剂废物</w:t>
            </w:r>
            <w:r>
              <w:rPr>
                <w:szCs w:val="18"/>
              </w:rPr>
              <w:t>）</w:t>
            </w:r>
            <w:r>
              <w:rPr>
                <w:rFonts w:hint="eastAsia"/>
                <w:szCs w:val="18"/>
              </w:rPr>
              <w:t>，</w:t>
            </w:r>
            <w:r>
              <w:rPr>
                <w:szCs w:val="18"/>
              </w:rPr>
              <w:t>危废代码：900-404-06</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t>送厂区等离子焚烧炉处置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szCs w:val="18"/>
              </w:rPr>
              <w:t>质检楼活性炭吸附装置</w:t>
            </w:r>
          </w:p>
        </w:tc>
        <w:tc>
          <w:tcPr>
            <w:tcW w:w="1093" w:type="dxa"/>
            <w:noWrap w:val="0"/>
            <w:vAlign w:val="center"/>
          </w:tcPr>
          <w:p>
            <w:pPr>
              <w:pStyle w:val="140"/>
              <w:spacing w:line="240" w:lineRule="exact"/>
              <w:rPr>
                <w:szCs w:val="18"/>
              </w:rPr>
            </w:pPr>
            <w:r>
              <w:rPr>
                <w:szCs w:val="18"/>
              </w:rPr>
              <w:t>废活性炭</w:t>
            </w:r>
            <w:r>
              <w:rPr>
                <w:bCs/>
                <w:szCs w:val="18"/>
              </w:rPr>
              <w:t>（S</w:t>
            </w:r>
            <w:r>
              <w:rPr>
                <w:bCs/>
                <w:szCs w:val="18"/>
                <w:vertAlign w:val="subscript"/>
              </w:rPr>
              <w:t>5-3</w:t>
            </w:r>
            <w:r>
              <w:rPr>
                <w:bCs/>
                <w:szCs w:val="18"/>
              </w:rPr>
              <w:t>）</w:t>
            </w:r>
          </w:p>
        </w:tc>
        <w:tc>
          <w:tcPr>
            <w:tcW w:w="711" w:type="dxa"/>
            <w:noWrap w:val="0"/>
            <w:vAlign w:val="center"/>
          </w:tcPr>
          <w:p>
            <w:pPr>
              <w:pStyle w:val="151"/>
              <w:spacing w:line="240" w:lineRule="exact"/>
            </w:pPr>
            <w:r>
              <w:t>0.1</w:t>
            </w:r>
          </w:p>
        </w:tc>
        <w:tc>
          <w:tcPr>
            <w:tcW w:w="506" w:type="dxa"/>
            <w:noWrap w:val="0"/>
            <w:vAlign w:val="center"/>
          </w:tcPr>
          <w:p>
            <w:pPr>
              <w:pStyle w:val="151"/>
              <w:spacing w:line="240" w:lineRule="exact"/>
            </w:pPr>
            <w:r>
              <w:rPr>
                <w:rFonts w:hint="eastAsia"/>
              </w:rPr>
              <w:t>T</w:t>
            </w:r>
          </w:p>
        </w:tc>
        <w:tc>
          <w:tcPr>
            <w:tcW w:w="2613" w:type="dxa"/>
            <w:noWrap w:val="0"/>
            <w:vAlign w:val="center"/>
          </w:tcPr>
          <w:p>
            <w:pPr>
              <w:pStyle w:val="140"/>
              <w:spacing w:line="240" w:lineRule="exact"/>
              <w:rPr>
                <w:szCs w:val="18"/>
              </w:rPr>
            </w:pPr>
            <w:r>
              <w:rPr>
                <w:szCs w:val="18"/>
              </w:rPr>
              <w:t>废活性炭等</w:t>
            </w:r>
            <w:r>
              <w:rPr>
                <w:rFonts w:hint="eastAsia"/>
                <w:szCs w:val="18"/>
              </w:rPr>
              <w:t>，</w:t>
            </w:r>
            <w:r>
              <w:rPr>
                <w:szCs w:val="18"/>
              </w:rPr>
              <w:t>危险废物HW49（</w:t>
            </w:r>
            <w:r>
              <w:rPr>
                <w:rFonts w:hint="eastAsia"/>
                <w:szCs w:val="18"/>
              </w:rPr>
              <w:t>其他废物</w:t>
            </w:r>
            <w:r>
              <w:rPr>
                <w:szCs w:val="18"/>
              </w:rPr>
              <w:t>）</w:t>
            </w:r>
            <w:r>
              <w:rPr>
                <w:rFonts w:hint="eastAsia"/>
                <w:szCs w:val="18"/>
              </w:rPr>
              <w:t>，</w:t>
            </w:r>
            <w:r>
              <w:rPr>
                <w:szCs w:val="18"/>
              </w:rPr>
              <w:t>危废代码：900-039-49</w:t>
            </w:r>
          </w:p>
        </w:tc>
        <w:tc>
          <w:tcPr>
            <w:tcW w:w="419" w:type="dxa"/>
            <w:noWrap w:val="0"/>
            <w:vAlign w:val="center"/>
          </w:tcPr>
          <w:p>
            <w:pPr>
              <w:pStyle w:val="151"/>
              <w:spacing w:line="240" w:lineRule="exact"/>
            </w:pPr>
            <w:r>
              <w:rPr>
                <w:rFonts w:hint="eastAsia"/>
              </w:rPr>
              <w:t>间歇</w:t>
            </w:r>
          </w:p>
        </w:tc>
        <w:tc>
          <w:tcPr>
            <w:tcW w:w="1332" w:type="dxa"/>
            <w:noWrap w:val="0"/>
            <w:vAlign w:val="center"/>
          </w:tcPr>
          <w:p>
            <w:pPr>
              <w:pStyle w:val="151"/>
              <w:spacing w:line="240" w:lineRule="exact"/>
            </w:pPr>
            <w:r>
              <w:rPr>
                <w:rFonts w:hint="eastAsia"/>
              </w:rPr>
              <w:t>外委有资质的危废处置单位处置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restart"/>
            <w:noWrap w:val="0"/>
            <w:vAlign w:val="center"/>
          </w:tcPr>
          <w:p>
            <w:pPr>
              <w:pStyle w:val="151"/>
              <w:spacing w:line="240" w:lineRule="exact"/>
            </w:pPr>
            <w:r>
              <w:rPr>
                <w:rFonts w:hint="eastAsia"/>
              </w:rPr>
              <w:t>副产品</w:t>
            </w:r>
          </w:p>
        </w:tc>
        <w:tc>
          <w:tcPr>
            <w:tcW w:w="916" w:type="dxa"/>
            <w:noWrap w:val="0"/>
            <w:vAlign w:val="center"/>
          </w:tcPr>
          <w:p>
            <w:pPr>
              <w:pStyle w:val="140"/>
              <w:spacing w:line="240" w:lineRule="exact"/>
              <w:rPr>
                <w:color w:val="auto"/>
                <w:szCs w:val="18"/>
              </w:rPr>
            </w:pPr>
            <w:r>
              <w:rPr>
                <w:rFonts w:hint="eastAsia"/>
                <w:color w:val="auto"/>
                <w:szCs w:val="18"/>
              </w:rPr>
              <w:t>POPVE生产</w:t>
            </w:r>
          </w:p>
        </w:tc>
        <w:tc>
          <w:tcPr>
            <w:tcW w:w="1093" w:type="dxa"/>
            <w:noWrap w:val="0"/>
            <w:vAlign w:val="center"/>
          </w:tcPr>
          <w:p>
            <w:pPr>
              <w:pStyle w:val="140"/>
              <w:spacing w:line="240" w:lineRule="exact"/>
              <w:rPr>
                <w:color w:val="auto"/>
                <w:szCs w:val="18"/>
              </w:rPr>
            </w:pPr>
            <w:r>
              <w:rPr>
                <w:rFonts w:hint="eastAsia"/>
                <w:color w:val="auto"/>
                <w:szCs w:val="18"/>
              </w:rPr>
              <w:t>PMVE</w:t>
            </w:r>
          </w:p>
        </w:tc>
        <w:tc>
          <w:tcPr>
            <w:tcW w:w="711" w:type="dxa"/>
            <w:noWrap w:val="0"/>
            <w:vAlign w:val="center"/>
          </w:tcPr>
          <w:p>
            <w:pPr>
              <w:pStyle w:val="151"/>
              <w:spacing w:line="240" w:lineRule="exact"/>
              <w:rPr>
                <w:color w:val="auto"/>
              </w:rPr>
            </w:pPr>
            <w:r>
              <w:rPr>
                <w:rFonts w:hint="eastAsia"/>
                <w:color w:val="auto"/>
              </w:rPr>
              <w:t>*</w:t>
            </w:r>
            <w:r>
              <w:rPr>
                <w:color w:val="auto"/>
              </w:rPr>
              <w:t>*</w:t>
            </w:r>
          </w:p>
        </w:tc>
        <w:tc>
          <w:tcPr>
            <w:tcW w:w="506" w:type="dxa"/>
            <w:noWrap w:val="0"/>
            <w:vAlign w:val="center"/>
          </w:tcPr>
          <w:p>
            <w:pPr>
              <w:pStyle w:val="151"/>
              <w:spacing w:line="240" w:lineRule="exact"/>
              <w:rPr>
                <w:color w:val="auto"/>
              </w:rPr>
            </w:pPr>
            <w:r>
              <w:rPr>
                <w:rFonts w:hint="eastAsia"/>
                <w:color w:val="auto"/>
              </w:rPr>
              <w:t>-</w:t>
            </w:r>
          </w:p>
        </w:tc>
        <w:tc>
          <w:tcPr>
            <w:tcW w:w="2613" w:type="dxa"/>
            <w:noWrap w:val="0"/>
            <w:vAlign w:val="center"/>
          </w:tcPr>
          <w:p>
            <w:pPr>
              <w:pStyle w:val="140"/>
              <w:spacing w:line="240" w:lineRule="exact"/>
              <w:rPr>
                <w:color w:val="auto"/>
                <w:szCs w:val="18"/>
              </w:rPr>
            </w:pPr>
            <w:r>
              <w:rPr>
                <w:rFonts w:hint="eastAsia"/>
                <w:color w:val="auto"/>
                <w:szCs w:val="18"/>
              </w:rPr>
              <w:t>-</w:t>
            </w:r>
          </w:p>
        </w:tc>
        <w:tc>
          <w:tcPr>
            <w:tcW w:w="419" w:type="dxa"/>
            <w:noWrap w:val="0"/>
            <w:vAlign w:val="center"/>
          </w:tcPr>
          <w:p>
            <w:pPr>
              <w:pStyle w:val="151"/>
              <w:spacing w:line="240" w:lineRule="exact"/>
              <w:rPr>
                <w:color w:val="auto"/>
              </w:rPr>
            </w:pPr>
            <w:r>
              <w:rPr>
                <w:rFonts w:hint="eastAsia"/>
                <w:color w:val="auto"/>
              </w:rPr>
              <w:t>-</w:t>
            </w:r>
          </w:p>
        </w:tc>
        <w:tc>
          <w:tcPr>
            <w:tcW w:w="1332" w:type="dxa"/>
            <w:noWrap w:val="0"/>
            <w:vAlign w:val="center"/>
          </w:tcPr>
          <w:p>
            <w:pPr>
              <w:pStyle w:val="151"/>
              <w:spacing w:line="240" w:lineRule="exact"/>
              <w:rPr>
                <w:color w:val="auto"/>
              </w:rPr>
            </w:pPr>
            <w:r>
              <w:rPr>
                <w:rFonts w:hint="eastAsia"/>
                <w:color w:val="auto"/>
              </w:rPr>
              <w:t>外售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vMerge w:val="continue"/>
            <w:noWrap w:val="0"/>
            <w:vAlign w:val="center"/>
          </w:tcPr>
          <w:p>
            <w:pPr>
              <w:pStyle w:val="151"/>
              <w:spacing w:line="240" w:lineRule="exact"/>
            </w:pPr>
          </w:p>
        </w:tc>
        <w:tc>
          <w:tcPr>
            <w:tcW w:w="916" w:type="dxa"/>
            <w:noWrap w:val="0"/>
            <w:vAlign w:val="center"/>
          </w:tcPr>
          <w:p>
            <w:pPr>
              <w:pStyle w:val="140"/>
              <w:spacing w:line="240" w:lineRule="exact"/>
              <w:rPr>
                <w:szCs w:val="18"/>
              </w:rPr>
            </w:pPr>
            <w:r>
              <w:rPr>
                <w:rFonts w:hint="eastAsia"/>
                <w:szCs w:val="18"/>
              </w:rPr>
              <w:t>MOVE生产</w:t>
            </w:r>
          </w:p>
        </w:tc>
        <w:tc>
          <w:tcPr>
            <w:tcW w:w="1093" w:type="dxa"/>
            <w:noWrap w:val="0"/>
            <w:vAlign w:val="center"/>
          </w:tcPr>
          <w:p>
            <w:pPr>
              <w:pStyle w:val="140"/>
              <w:spacing w:line="240" w:lineRule="exact"/>
              <w:rPr>
                <w:szCs w:val="18"/>
              </w:rPr>
            </w:pPr>
            <w:r>
              <w:rPr>
                <w:rFonts w:hint="eastAsia"/>
                <w:szCs w:val="18"/>
              </w:rPr>
              <w:t>1</w:t>
            </w:r>
            <w:r>
              <w:rPr>
                <w:szCs w:val="18"/>
              </w:rPr>
              <w:t>5</w:t>
            </w:r>
            <w:r>
              <w:rPr>
                <w:rFonts w:hint="eastAsia"/>
                <w:szCs w:val="18"/>
              </w:rPr>
              <w:t>%氢氟酸</w:t>
            </w:r>
          </w:p>
        </w:tc>
        <w:tc>
          <w:tcPr>
            <w:tcW w:w="711" w:type="dxa"/>
            <w:noWrap w:val="0"/>
            <w:vAlign w:val="center"/>
          </w:tcPr>
          <w:p>
            <w:pPr>
              <w:pStyle w:val="151"/>
              <w:spacing w:line="240" w:lineRule="exact"/>
            </w:pPr>
            <w:r>
              <w:rPr>
                <w:rFonts w:hint="eastAsia"/>
              </w:rPr>
              <w:t>1</w:t>
            </w:r>
            <w:r>
              <w:t>0</w:t>
            </w:r>
          </w:p>
        </w:tc>
        <w:tc>
          <w:tcPr>
            <w:tcW w:w="506" w:type="dxa"/>
            <w:noWrap w:val="0"/>
            <w:vAlign w:val="center"/>
          </w:tcPr>
          <w:p>
            <w:pPr>
              <w:pStyle w:val="151"/>
              <w:spacing w:line="240" w:lineRule="exact"/>
            </w:pPr>
            <w:r>
              <w:rPr>
                <w:rFonts w:hint="eastAsia"/>
              </w:rPr>
              <w:t>-</w:t>
            </w:r>
          </w:p>
        </w:tc>
        <w:tc>
          <w:tcPr>
            <w:tcW w:w="2613" w:type="dxa"/>
            <w:noWrap w:val="0"/>
            <w:vAlign w:val="center"/>
          </w:tcPr>
          <w:p>
            <w:pPr>
              <w:pStyle w:val="140"/>
              <w:spacing w:line="240" w:lineRule="exact"/>
              <w:rPr>
                <w:szCs w:val="18"/>
              </w:rPr>
            </w:pPr>
            <w:r>
              <w:rPr>
                <w:rFonts w:hint="eastAsia"/>
                <w:szCs w:val="18"/>
              </w:rPr>
              <w:t>-</w:t>
            </w:r>
          </w:p>
        </w:tc>
        <w:tc>
          <w:tcPr>
            <w:tcW w:w="419" w:type="dxa"/>
            <w:noWrap w:val="0"/>
            <w:vAlign w:val="center"/>
          </w:tcPr>
          <w:p>
            <w:pPr>
              <w:pStyle w:val="151"/>
              <w:spacing w:line="240" w:lineRule="exact"/>
            </w:pPr>
            <w:r>
              <w:rPr>
                <w:rFonts w:hint="eastAsia"/>
              </w:rPr>
              <w:t>-</w:t>
            </w:r>
          </w:p>
        </w:tc>
        <w:tc>
          <w:tcPr>
            <w:tcW w:w="1332" w:type="dxa"/>
            <w:noWrap w:val="0"/>
            <w:vAlign w:val="center"/>
          </w:tcPr>
          <w:p>
            <w:pPr>
              <w:pStyle w:val="151"/>
              <w:spacing w:line="240" w:lineRule="exact"/>
            </w:pPr>
            <w:r>
              <w:rPr>
                <w:rFonts w:hint="eastAsia"/>
              </w:rPr>
              <w:t>外售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87" w:type="dxa"/>
            <w:noWrap w:val="0"/>
            <w:vAlign w:val="center"/>
          </w:tcPr>
          <w:p>
            <w:pPr>
              <w:pStyle w:val="151"/>
              <w:spacing w:line="240" w:lineRule="exact"/>
            </w:pPr>
            <w:r>
              <w:rPr>
                <w:rFonts w:hint="eastAsia"/>
              </w:rPr>
              <w:t>合计</w:t>
            </w:r>
          </w:p>
        </w:tc>
        <w:tc>
          <w:tcPr>
            <w:tcW w:w="916" w:type="dxa"/>
            <w:noWrap w:val="0"/>
            <w:vAlign w:val="center"/>
          </w:tcPr>
          <w:p>
            <w:pPr>
              <w:pStyle w:val="140"/>
              <w:spacing w:line="240" w:lineRule="exact"/>
              <w:rPr>
                <w:szCs w:val="18"/>
              </w:rPr>
            </w:pPr>
          </w:p>
        </w:tc>
        <w:tc>
          <w:tcPr>
            <w:tcW w:w="1093" w:type="dxa"/>
            <w:noWrap w:val="0"/>
            <w:vAlign w:val="center"/>
          </w:tcPr>
          <w:p>
            <w:pPr>
              <w:pStyle w:val="140"/>
              <w:spacing w:line="240" w:lineRule="exact"/>
              <w:rPr>
                <w:szCs w:val="18"/>
              </w:rPr>
            </w:pPr>
          </w:p>
        </w:tc>
        <w:tc>
          <w:tcPr>
            <w:tcW w:w="711" w:type="dxa"/>
            <w:noWrap w:val="0"/>
            <w:vAlign w:val="top"/>
          </w:tcPr>
          <w:p>
            <w:pPr>
              <w:pStyle w:val="151"/>
              <w:spacing w:line="240" w:lineRule="exact"/>
            </w:pPr>
            <w:r>
              <w:rPr>
                <w:rFonts w:hint="eastAsia"/>
              </w:rPr>
              <w:t>5</w:t>
            </w:r>
            <w:r>
              <w:t>0.961</w:t>
            </w:r>
          </w:p>
        </w:tc>
        <w:tc>
          <w:tcPr>
            <w:tcW w:w="506" w:type="dxa"/>
            <w:noWrap w:val="0"/>
            <w:vAlign w:val="center"/>
          </w:tcPr>
          <w:p>
            <w:pPr>
              <w:pStyle w:val="151"/>
              <w:spacing w:line="240" w:lineRule="exact"/>
            </w:pPr>
          </w:p>
        </w:tc>
        <w:tc>
          <w:tcPr>
            <w:tcW w:w="2613" w:type="dxa"/>
            <w:noWrap w:val="0"/>
            <w:vAlign w:val="center"/>
          </w:tcPr>
          <w:p>
            <w:pPr>
              <w:pStyle w:val="140"/>
              <w:spacing w:line="240" w:lineRule="exact"/>
              <w:rPr>
                <w:szCs w:val="18"/>
              </w:rPr>
            </w:pPr>
          </w:p>
        </w:tc>
        <w:tc>
          <w:tcPr>
            <w:tcW w:w="419" w:type="dxa"/>
            <w:noWrap w:val="0"/>
            <w:vAlign w:val="center"/>
          </w:tcPr>
          <w:p>
            <w:pPr>
              <w:pStyle w:val="151"/>
              <w:spacing w:line="240" w:lineRule="exact"/>
            </w:pPr>
          </w:p>
        </w:tc>
        <w:tc>
          <w:tcPr>
            <w:tcW w:w="1332" w:type="dxa"/>
            <w:noWrap w:val="0"/>
            <w:vAlign w:val="center"/>
          </w:tcPr>
          <w:p>
            <w:pPr>
              <w:pStyle w:val="151"/>
              <w:spacing w:line="240" w:lineRule="exact"/>
            </w:pPr>
          </w:p>
        </w:tc>
      </w:tr>
      <w:bookmarkEnd w:id="58"/>
    </w:tbl>
    <w:p>
      <w:pPr>
        <w:widowControl/>
        <w:spacing w:line="360" w:lineRule="auto"/>
        <w:ind w:firstLine="480"/>
        <w:rPr>
          <w:rFonts w:hint="eastAsia"/>
          <w:sz w:val="24"/>
        </w:rPr>
      </w:pPr>
    </w:p>
    <w:p>
      <w:pPr>
        <w:pStyle w:val="4"/>
        <w:spacing w:before="120" w:after="120"/>
        <w:jc w:val="center"/>
        <w:rPr>
          <w:rFonts w:eastAsia="宋体"/>
        </w:rPr>
      </w:pPr>
      <w:r>
        <w:rPr>
          <w:rFonts w:hint="eastAsia" w:eastAsia="宋体"/>
        </w:rPr>
        <w:t>3</w:t>
      </w:r>
      <w:r>
        <w:rPr>
          <w:rFonts w:eastAsia="宋体"/>
        </w:rPr>
        <w:t>环境影响报告书</w:t>
      </w:r>
      <w:bookmarkEnd w:id="57"/>
      <w:bookmarkStart w:id="59" w:name="_Toc50707417"/>
      <w:r>
        <w:rPr>
          <w:rFonts w:eastAsia="宋体"/>
        </w:rPr>
        <w:t>主要结论</w:t>
      </w:r>
      <w:bookmarkEnd w:id="59"/>
    </w:p>
    <w:p>
      <w:pPr>
        <w:widowControl/>
        <w:spacing w:line="360" w:lineRule="auto"/>
        <w:rPr>
          <w:b/>
          <w:kern w:val="0"/>
          <w:sz w:val="24"/>
        </w:rPr>
      </w:pPr>
      <w:bookmarkStart w:id="60" w:name="3.1_环境影响报告书的主要结论"/>
      <w:bookmarkEnd w:id="60"/>
      <w:bookmarkStart w:id="61" w:name="_bookmark15"/>
      <w:bookmarkEnd w:id="61"/>
    </w:p>
    <w:p>
      <w:pPr>
        <w:pStyle w:val="80"/>
        <w:ind w:firstLine="480" w:firstLineChars="200"/>
        <w:rPr>
          <w:rFonts w:hint="eastAsia"/>
          <w:szCs w:val="24"/>
          <w:lang w:eastAsia="zh-CN"/>
        </w:rPr>
      </w:pPr>
      <w:bookmarkStart w:id="62" w:name="_Toc50707419"/>
      <w:r>
        <w:rPr>
          <w:rFonts w:hint="eastAsia"/>
          <w:szCs w:val="24"/>
          <w:lang w:eastAsia="zh-CN"/>
        </w:rPr>
        <w:t>项目为中昊晨光化工研究院有限公司关键材料技术自主化能力建设项目，建设内容分别为MOVE关键单体工程化研究条件建设、POPVE关键单体工程化研究条件建设、氟橡胶聚合及后处理关键共性技术研发条件建设以及质检中心改造。</w:t>
      </w:r>
    </w:p>
    <w:p>
      <w:pPr>
        <w:pStyle w:val="80"/>
        <w:ind w:firstLine="480" w:firstLineChars="200"/>
        <w:rPr>
          <w:rFonts w:hint="eastAsia" w:ascii="黑体" w:hAnsi="黑体" w:eastAsia="黑体" w:cs="黑体"/>
          <w:sz w:val="28"/>
        </w:rPr>
      </w:pPr>
      <w:r>
        <w:rPr>
          <w:rFonts w:hint="eastAsia"/>
          <w:szCs w:val="24"/>
          <w:lang w:eastAsia="zh-CN"/>
        </w:rPr>
        <w:t>项目符合国家产业政策，选址符合当地规划。项目采用的工艺成熟可靠，符合清洁生产要求。项目选址地周围无明显环境制约因素，环评提出的环保措施及风险防控措施可行，可实现三废达标排放和环境风险控制，对各环境要素的影响可接受，不会因项目建设而改变区域环境功能，不会造成环境质量出现超标。落实环评提出的各项环保措施，则本项目拟选址处建设从环保角度可行。</w:t>
      </w:r>
    </w:p>
    <w:p>
      <w:pPr>
        <w:pStyle w:val="80"/>
        <w:ind w:firstLine="480" w:firstLineChars="200"/>
        <w:rPr>
          <w:rFonts w:hint="eastAsia"/>
          <w:szCs w:val="24"/>
        </w:rPr>
      </w:pPr>
    </w:p>
    <w:p>
      <w:pPr>
        <w:pStyle w:val="4"/>
        <w:spacing w:before="120" w:after="120"/>
        <w:jc w:val="center"/>
        <w:rPr>
          <w:rFonts w:ascii="宋体" w:hAnsi="宋体" w:cs="宋体"/>
          <w:b w:val="0"/>
          <w:kern w:val="0"/>
          <w:sz w:val="33"/>
        </w:rPr>
      </w:pPr>
      <w:r>
        <w:rPr>
          <w:rFonts w:hint="eastAsia" w:eastAsia="宋体"/>
        </w:rPr>
        <w:t>4</w:t>
      </w:r>
      <w:r>
        <w:rPr>
          <w:rFonts w:eastAsia="宋体"/>
        </w:rPr>
        <w:t>环境保护措施落实情况调查</w:t>
      </w:r>
      <w:bookmarkEnd w:id="62"/>
    </w:p>
    <w:p>
      <w:pPr>
        <w:pStyle w:val="80"/>
        <w:ind w:firstLine="480" w:firstLineChars="200"/>
        <w:rPr>
          <w:rFonts w:hint="eastAsia"/>
          <w:szCs w:val="24"/>
          <w:lang w:eastAsia="zh-CN"/>
        </w:rPr>
      </w:pPr>
      <w:r>
        <w:rPr>
          <w:rFonts w:hint="eastAsia"/>
          <w:szCs w:val="24"/>
          <w:lang w:eastAsia="zh-CN"/>
        </w:rPr>
        <w:t>四川省环科源科技有限公司</w:t>
      </w:r>
      <w:r>
        <w:rPr>
          <w:szCs w:val="24"/>
        </w:rPr>
        <w:t>于201</w:t>
      </w:r>
      <w:r>
        <w:rPr>
          <w:rFonts w:hint="eastAsia"/>
          <w:szCs w:val="24"/>
          <w:lang w:val="en-US" w:eastAsia="zh-CN"/>
        </w:rPr>
        <w:t>4</w:t>
      </w:r>
      <w:r>
        <w:rPr>
          <w:szCs w:val="24"/>
        </w:rPr>
        <w:t>年</w:t>
      </w:r>
      <w:r>
        <w:rPr>
          <w:rFonts w:hint="eastAsia"/>
          <w:szCs w:val="24"/>
          <w:lang w:val="en-US" w:eastAsia="zh-CN"/>
        </w:rPr>
        <w:t>10</w:t>
      </w:r>
      <w:r>
        <w:rPr>
          <w:szCs w:val="24"/>
        </w:rPr>
        <w:t>月编制完成了《</w:t>
      </w:r>
      <w:r>
        <w:rPr>
          <w:rFonts w:hint="eastAsia"/>
          <w:szCs w:val="24"/>
          <w:lang w:eastAsia="zh-CN"/>
        </w:rPr>
        <w:t>关键材料技术自主化能力建设项目</w:t>
      </w:r>
      <w:r>
        <w:rPr>
          <w:szCs w:val="24"/>
        </w:rPr>
        <w:t>环境影响报告书》。201</w:t>
      </w:r>
      <w:r>
        <w:rPr>
          <w:rFonts w:hint="eastAsia"/>
          <w:szCs w:val="24"/>
          <w:lang w:val="en-US" w:eastAsia="zh-CN"/>
        </w:rPr>
        <w:t>6</w:t>
      </w:r>
      <w:r>
        <w:rPr>
          <w:szCs w:val="24"/>
        </w:rPr>
        <w:t>年</w:t>
      </w:r>
      <w:r>
        <w:rPr>
          <w:rFonts w:hint="eastAsia"/>
          <w:szCs w:val="24"/>
          <w:lang w:val="en-US" w:eastAsia="zh-CN"/>
        </w:rPr>
        <w:t>6</w:t>
      </w:r>
      <w:r>
        <w:rPr>
          <w:szCs w:val="24"/>
        </w:rPr>
        <w:t>月2</w:t>
      </w:r>
      <w:r>
        <w:rPr>
          <w:rFonts w:hint="eastAsia"/>
          <w:szCs w:val="24"/>
          <w:lang w:val="en-US" w:eastAsia="zh-CN"/>
        </w:rPr>
        <w:t>0</w:t>
      </w:r>
      <w:r>
        <w:rPr>
          <w:szCs w:val="24"/>
        </w:rPr>
        <w:t>日，</w:t>
      </w:r>
      <w:r>
        <w:rPr>
          <w:rFonts w:hint="eastAsia"/>
          <w:szCs w:val="24"/>
          <w:lang w:eastAsia="zh-CN"/>
        </w:rPr>
        <w:t>自贡市生态环境局</w:t>
      </w:r>
      <w:r>
        <w:rPr>
          <w:szCs w:val="24"/>
        </w:rPr>
        <w:t>以</w:t>
      </w:r>
      <w:r>
        <w:rPr>
          <w:rFonts w:hint="eastAsia"/>
          <w:szCs w:val="24"/>
          <w:lang w:eastAsia="zh-CN"/>
        </w:rPr>
        <w:t>自环项批[2017]12号</w:t>
      </w:r>
      <w:r>
        <w:rPr>
          <w:szCs w:val="24"/>
        </w:rPr>
        <w:t>对本项目环境影响报告书进行了批</w:t>
      </w:r>
      <w:r>
        <w:rPr>
          <w:rFonts w:hint="eastAsia"/>
          <w:szCs w:val="24"/>
          <w:lang w:eastAsia="zh-CN"/>
        </w:rPr>
        <w:t>复，目前已建设完成；2018年10月项目正式开工建设，2020年6月投入运行。</w:t>
      </w:r>
    </w:p>
    <w:p>
      <w:pPr>
        <w:snapToGrid w:val="0"/>
        <w:spacing w:line="360" w:lineRule="auto"/>
        <w:ind w:firstLine="480" w:firstLineChars="200"/>
        <w:rPr>
          <w:sz w:val="24"/>
        </w:rPr>
      </w:pPr>
      <w:r>
        <w:rPr>
          <w:sz w:val="24"/>
        </w:rPr>
        <w:t>通过对本项目的设计文件的分析以及项目所在地环境现状的踏勘与调查，在该工程设计和施工过程中，建设单位根据项目环境影响报告书提出的主要环境保护措施与建议以及</w:t>
      </w:r>
      <w:r>
        <w:rPr>
          <w:rFonts w:hint="eastAsia"/>
          <w:sz w:val="24"/>
          <w:lang w:eastAsia="zh-CN"/>
        </w:rPr>
        <w:t>自贡市生态环境局</w:t>
      </w:r>
      <w:r>
        <w:rPr>
          <w:sz w:val="24"/>
        </w:rPr>
        <w:t>对该工程环境影响报告书的批复要求，在设计期、施工期以及运营初期采取了一系列的环境污染防治措施，并建立了较为完善的环境保护管理机构与制度，有效地控制了项目建设对环境的影响，实现了环保设施与工程主体设施同时设计、同时施工、同时投入使用</w:t>
      </w:r>
      <w:r>
        <w:rPr>
          <w:rFonts w:hint="eastAsia"/>
          <w:sz w:val="24"/>
        </w:rPr>
        <w:t>。</w:t>
      </w: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rPr>
          <w:rFonts w:ascii="宋体" w:hAnsi="宋体" w:cs="宋体"/>
          <w:kern w:val="0"/>
          <w:sz w:val="24"/>
        </w:rPr>
        <w:sectPr>
          <w:headerReference r:id="rId3" w:type="default"/>
          <w:pgSz w:w="11906" w:h="16838"/>
          <w:pgMar w:top="1089" w:right="1826" w:bottom="1440" w:left="1588" w:header="851" w:footer="992" w:gutter="0"/>
          <w:cols w:space="720" w:num="1"/>
          <w:docGrid w:linePitch="312" w:charSpace="0"/>
        </w:sectPr>
      </w:pPr>
    </w:p>
    <w:p>
      <w:pPr>
        <w:pStyle w:val="5"/>
        <w:spacing w:before="120" w:after="120"/>
        <w:rPr>
          <w:rFonts w:ascii="Times New Roman" w:hAnsi="Times New Roman" w:eastAsia="宋体"/>
          <w:b/>
          <w:szCs w:val="30"/>
        </w:rPr>
      </w:pPr>
      <w:bookmarkStart w:id="63" w:name="_Toc50707420"/>
      <w:r>
        <w:rPr>
          <w:rFonts w:ascii="Times New Roman" w:hAnsi="Times New Roman" w:eastAsia="宋体"/>
          <w:b/>
          <w:szCs w:val="30"/>
        </w:rPr>
        <w:t>项目环境影响报告书的批复要求落实情况</w:t>
      </w:r>
      <w:bookmarkEnd w:id="63"/>
    </w:p>
    <w:p>
      <w:pPr>
        <w:pStyle w:val="80"/>
        <w:ind w:firstLine="480" w:firstLineChars="200"/>
        <w:rPr>
          <w:szCs w:val="24"/>
        </w:rPr>
      </w:pPr>
      <w:r>
        <w:rPr>
          <w:szCs w:val="24"/>
        </w:rPr>
        <w:t>2</w:t>
      </w:r>
      <w:r>
        <w:rPr>
          <w:rFonts w:hint="eastAsia"/>
          <w:szCs w:val="24"/>
          <w:lang w:eastAsia="zh-CN"/>
        </w:rPr>
        <w:t>四川省环科源科技有限公司</w:t>
      </w:r>
      <w:r>
        <w:rPr>
          <w:szCs w:val="24"/>
        </w:rPr>
        <w:t>于201</w:t>
      </w:r>
      <w:r>
        <w:rPr>
          <w:rFonts w:hint="eastAsia"/>
          <w:szCs w:val="24"/>
          <w:lang w:val="en-US" w:eastAsia="zh-CN"/>
        </w:rPr>
        <w:t>4</w:t>
      </w:r>
      <w:r>
        <w:rPr>
          <w:szCs w:val="24"/>
        </w:rPr>
        <w:t>年</w:t>
      </w:r>
      <w:r>
        <w:rPr>
          <w:rFonts w:hint="eastAsia"/>
          <w:szCs w:val="24"/>
          <w:lang w:val="en-US" w:eastAsia="zh-CN"/>
        </w:rPr>
        <w:t>10</w:t>
      </w:r>
      <w:r>
        <w:rPr>
          <w:szCs w:val="24"/>
        </w:rPr>
        <w:t>月编制完成了《</w:t>
      </w:r>
      <w:r>
        <w:rPr>
          <w:rFonts w:hint="eastAsia"/>
          <w:szCs w:val="24"/>
          <w:lang w:eastAsia="zh-CN"/>
        </w:rPr>
        <w:t>关键材料技术自主化能力建设项目</w:t>
      </w:r>
      <w:r>
        <w:rPr>
          <w:szCs w:val="24"/>
        </w:rPr>
        <w:t>环境影响报告书》。201</w:t>
      </w:r>
      <w:r>
        <w:rPr>
          <w:rFonts w:hint="eastAsia"/>
          <w:szCs w:val="24"/>
          <w:lang w:val="en-US" w:eastAsia="zh-CN"/>
        </w:rPr>
        <w:t>6</w:t>
      </w:r>
      <w:r>
        <w:rPr>
          <w:szCs w:val="24"/>
        </w:rPr>
        <w:t>年</w:t>
      </w:r>
      <w:r>
        <w:rPr>
          <w:rFonts w:hint="eastAsia"/>
          <w:szCs w:val="24"/>
          <w:lang w:val="en-US" w:eastAsia="zh-CN"/>
        </w:rPr>
        <w:t>6</w:t>
      </w:r>
      <w:r>
        <w:rPr>
          <w:szCs w:val="24"/>
        </w:rPr>
        <w:t>月2</w:t>
      </w:r>
      <w:r>
        <w:rPr>
          <w:rFonts w:hint="eastAsia"/>
          <w:szCs w:val="24"/>
          <w:lang w:val="en-US" w:eastAsia="zh-CN"/>
        </w:rPr>
        <w:t>0</w:t>
      </w:r>
      <w:r>
        <w:rPr>
          <w:szCs w:val="24"/>
        </w:rPr>
        <w:t>日，</w:t>
      </w:r>
      <w:r>
        <w:rPr>
          <w:rFonts w:hint="eastAsia"/>
          <w:szCs w:val="24"/>
          <w:lang w:eastAsia="zh-CN"/>
        </w:rPr>
        <w:t>自贡市生态环境局</w:t>
      </w:r>
      <w:r>
        <w:rPr>
          <w:szCs w:val="24"/>
        </w:rPr>
        <w:t>以</w:t>
      </w:r>
      <w:r>
        <w:rPr>
          <w:rFonts w:hint="eastAsia"/>
          <w:szCs w:val="24"/>
          <w:lang w:eastAsia="zh-CN"/>
        </w:rPr>
        <w:t>自环项批[2017]12号</w:t>
      </w:r>
      <w:r>
        <w:rPr>
          <w:szCs w:val="24"/>
        </w:rPr>
        <w:t>对本项目环境影响报告书进行了批</w:t>
      </w:r>
      <w:r>
        <w:rPr>
          <w:rFonts w:hint="eastAsia"/>
          <w:szCs w:val="24"/>
          <w:lang w:eastAsia="zh-CN"/>
        </w:rPr>
        <w:t>复，目前已</w:t>
      </w:r>
      <w:r>
        <w:rPr>
          <w:rFonts w:hint="eastAsia" w:ascii="Times New Roman" w:hAnsi="Times New Roman" w:eastAsia="宋体" w:cs="Times New Roman"/>
          <w:szCs w:val="24"/>
          <w:lang w:eastAsia="zh-CN"/>
        </w:rPr>
        <w:t>建设完成；2018年10月项目正式开工建设，2020年6月投入运行。其批复涉及已</w:t>
      </w:r>
      <w:r>
        <w:rPr>
          <w:rFonts w:hint="eastAsia"/>
          <w:shd w:val="clear" w:color="auto" w:fill="FFFFFF"/>
        </w:rPr>
        <w:t>建</w:t>
      </w:r>
      <w:r>
        <w:rPr>
          <w:shd w:val="clear" w:color="auto" w:fill="FFFFFF"/>
        </w:rPr>
        <w:t>项目要求及落实情况见表4.2-1。</w:t>
      </w:r>
    </w:p>
    <w:p>
      <w:pPr>
        <w:spacing w:line="360" w:lineRule="auto"/>
        <w:ind w:firstLine="480" w:firstLineChars="200"/>
        <w:jc w:val="center"/>
        <w:rPr>
          <w:bCs/>
          <w:sz w:val="24"/>
        </w:rPr>
      </w:pPr>
      <w:r>
        <w:rPr>
          <w:rFonts w:hint="eastAsia"/>
          <w:bCs/>
          <w:sz w:val="24"/>
        </w:rPr>
        <w:t>4</w:t>
      </w:r>
      <w:r>
        <w:rPr>
          <w:bCs/>
          <w:sz w:val="24"/>
        </w:rPr>
        <w:t>.2-1批复意见要求落实情况对照表</w:t>
      </w:r>
    </w:p>
    <w:tbl>
      <w:tblPr>
        <w:tblStyle w:val="43"/>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993"/>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shd w:val="clear" w:color="auto" w:fill="auto"/>
            <w:vAlign w:val="center"/>
          </w:tcPr>
          <w:p>
            <w:pPr>
              <w:jc w:val="center"/>
              <w:rPr>
                <w:b/>
                <w:bCs/>
              </w:rPr>
            </w:pPr>
            <w:r>
              <w:rPr>
                <w:b/>
                <w:bCs/>
              </w:rPr>
              <w:t>序号</w:t>
            </w:r>
          </w:p>
        </w:tc>
        <w:tc>
          <w:tcPr>
            <w:tcW w:w="4993" w:type="dxa"/>
            <w:shd w:val="clear" w:color="auto" w:fill="auto"/>
            <w:vAlign w:val="center"/>
          </w:tcPr>
          <w:p>
            <w:pPr>
              <w:jc w:val="center"/>
              <w:rPr>
                <w:b/>
                <w:bCs/>
              </w:rPr>
            </w:pPr>
            <w:r>
              <w:rPr>
                <w:rFonts w:hint="eastAsia"/>
                <w:b/>
                <w:bCs/>
              </w:rPr>
              <w:t>批复要求</w:t>
            </w:r>
          </w:p>
        </w:tc>
        <w:tc>
          <w:tcPr>
            <w:tcW w:w="2817" w:type="dxa"/>
            <w:shd w:val="clear" w:color="auto" w:fill="auto"/>
            <w:vAlign w:val="center"/>
          </w:tcPr>
          <w:p>
            <w:pPr>
              <w:jc w:val="center"/>
              <w:rPr>
                <w:b/>
                <w:bCs/>
              </w:rPr>
            </w:pPr>
            <w:r>
              <w:rPr>
                <w:rFonts w:hint="eastAsia"/>
                <w:b/>
                <w:bCs/>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shd w:val="clear" w:color="auto" w:fill="auto"/>
            <w:vAlign w:val="center"/>
          </w:tcPr>
          <w:p>
            <w:pPr>
              <w:jc w:val="center"/>
              <w:rPr>
                <w:b/>
                <w:bCs/>
              </w:rPr>
            </w:pPr>
            <w:r>
              <w:rPr>
                <w:b/>
                <w:bCs/>
              </w:rPr>
              <w:t>1</w:t>
            </w:r>
          </w:p>
        </w:tc>
        <w:tc>
          <w:tcPr>
            <w:tcW w:w="4993" w:type="dxa"/>
            <w:shd w:val="clear" w:color="auto" w:fill="auto"/>
            <w:vAlign w:val="center"/>
          </w:tcPr>
          <w:p>
            <w:pPr>
              <w:jc w:val="left"/>
              <w:rPr>
                <w:rFonts w:hint="eastAsia"/>
                <w:lang w:eastAsia="zh-CN"/>
              </w:rPr>
            </w:pPr>
            <w:r>
              <w:rPr>
                <w:rFonts w:hint="eastAsia"/>
                <w:lang w:val="en-US" w:eastAsia="zh-CN"/>
              </w:rPr>
              <w:t xml:space="preserve"> </w:t>
            </w:r>
            <w:r>
              <w:rPr>
                <w:rFonts w:hint="eastAsia"/>
                <w:lang w:eastAsia="zh-CN"/>
              </w:rPr>
              <w:t>严格控制运营期废水污染。</w:t>
            </w:r>
          </w:p>
          <w:p>
            <w:pPr>
              <w:jc w:val="left"/>
              <w:rPr>
                <w:rFonts w:hint="eastAsia"/>
                <w:lang w:eastAsia="zh-CN"/>
              </w:rPr>
            </w:pPr>
            <w:r>
              <w:rPr>
                <w:rFonts w:hint="eastAsia"/>
                <w:lang w:eastAsia="zh-CN"/>
              </w:rPr>
              <w:t>1.电解槽碳板清洗酸性废水和碱洗系统废碱液,经中和处理后送厂区含氟废水处理装置.处理达标后排放。</w:t>
            </w:r>
          </w:p>
          <w:p>
            <w:pPr>
              <w:jc w:val="left"/>
              <w:rPr>
                <w:rFonts w:hint="eastAsia"/>
                <w:lang w:eastAsia="zh-CN"/>
              </w:rPr>
            </w:pPr>
            <w:r>
              <w:rPr>
                <w:rFonts w:hint="eastAsia"/>
                <w:lang w:eastAsia="zh-CN"/>
              </w:rPr>
              <w:t>2.精馏系统各种低沸和高沸残液,集中装入钢瓶后送厂区等离子裂解装置处理。</w:t>
            </w:r>
          </w:p>
          <w:p>
            <w:pPr>
              <w:jc w:val="left"/>
              <w:rPr>
                <w:rFonts w:hint="eastAsia"/>
                <w:lang w:eastAsia="zh-CN"/>
              </w:rPr>
            </w:pPr>
            <w:r>
              <w:rPr>
                <w:rFonts w:hint="eastAsia"/>
                <w:lang w:eastAsia="zh-CN"/>
              </w:rPr>
              <w:t>3.建设500立方米的事故收集池，主要收集车间杂水和事故状态下废水，使其经中和预处理后送现有厂污水处理站集中处理。</w:t>
            </w:r>
          </w:p>
          <w:p>
            <w:pPr>
              <w:jc w:val="left"/>
              <w:rPr>
                <w:rFonts w:hint="eastAsia"/>
                <w:lang w:eastAsia="zh-CN"/>
              </w:rPr>
            </w:pPr>
            <w:r>
              <w:rPr>
                <w:rFonts w:hint="eastAsia"/>
                <w:lang w:eastAsia="zh-CN"/>
              </w:rPr>
              <w:t>4.设置冷却水循环系统，冷却水不外排。</w:t>
            </w:r>
          </w:p>
        </w:tc>
        <w:tc>
          <w:tcPr>
            <w:tcW w:w="2817" w:type="dxa"/>
            <w:shd w:val="clear" w:color="auto" w:fill="auto"/>
            <w:vAlign w:val="center"/>
          </w:tcPr>
          <w:p>
            <w:pPr>
              <w:jc w:val="left"/>
              <w:rPr>
                <w:rFonts w:hint="eastAsia"/>
                <w:lang w:eastAsia="zh-CN"/>
              </w:rPr>
            </w:pPr>
            <w:r>
              <w:rPr>
                <w:rFonts w:hint="eastAsia"/>
                <w:lang w:eastAsia="zh-CN"/>
              </w:rPr>
              <w:t>已严格按照报告书要求，1.电解槽碳板清洗酸性废水和碱洗系统废碱液,经中和处理后送厂区含氟废水处理装置处理达标后排放。</w:t>
            </w:r>
          </w:p>
          <w:p>
            <w:pPr>
              <w:numPr>
                <w:ilvl w:val="0"/>
                <w:numId w:val="3"/>
              </w:numPr>
              <w:jc w:val="center"/>
              <w:rPr>
                <w:rFonts w:hint="eastAsia"/>
                <w:lang w:eastAsia="zh-CN"/>
              </w:rPr>
            </w:pPr>
            <w:r>
              <w:rPr>
                <w:rFonts w:hint="eastAsia"/>
                <w:lang w:eastAsia="zh-CN"/>
              </w:rPr>
              <w:t>精馏系统各种低沸和高沸残液,集中装入钢瓶后送厂区等离子裂解装置处理。</w:t>
            </w:r>
          </w:p>
          <w:p>
            <w:pPr>
              <w:numPr>
                <w:ilvl w:val="0"/>
                <w:numId w:val="3"/>
              </w:numPr>
              <w:jc w:val="center"/>
              <w:rPr>
                <w:rFonts w:hint="eastAsia"/>
                <w:lang w:eastAsia="zh-CN"/>
              </w:rPr>
            </w:pPr>
            <w:r>
              <w:rPr>
                <w:rFonts w:hint="eastAsia"/>
                <w:lang w:val="en-US" w:eastAsia="zh-CN"/>
              </w:rPr>
              <w:t>3.</w:t>
            </w:r>
            <w:r>
              <w:rPr>
                <w:rFonts w:hint="eastAsia"/>
                <w:lang w:eastAsia="zh-CN"/>
              </w:rPr>
              <w:t>项目目前厂区建设了2400 m</w:t>
            </w:r>
            <w:r>
              <w:rPr>
                <w:rFonts w:hint="eastAsia"/>
                <w:vertAlign w:val="superscript"/>
                <w:lang w:eastAsia="zh-CN"/>
              </w:rPr>
              <w:t>3</w:t>
            </w:r>
            <w:r>
              <w:rPr>
                <w:rFonts w:hint="eastAsia"/>
                <w:lang w:eastAsia="zh-CN"/>
              </w:rPr>
              <w:t>、1000 m</w:t>
            </w:r>
            <w:r>
              <w:rPr>
                <w:rFonts w:hint="eastAsia"/>
                <w:vertAlign w:val="superscript"/>
                <w:lang w:eastAsia="zh-CN"/>
              </w:rPr>
              <w:t>3</w:t>
            </w:r>
            <w:r>
              <w:rPr>
                <w:rFonts w:hint="eastAsia"/>
                <w:lang w:eastAsia="zh-CN"/>
              </w:rPr>
              <w:t>、800 m</w:t>
            </w:r>
            <w:r>
              <w:rPr>
                <w:rFonts w:hint="eastAsia"/>
                <w:vertAlign w:val="superscript"/>
                <w:lang w:eastAsia="zh-CN"/>
              </w:rPr>
              <w:t>3</w:t>
            </w:r>
            <w:r>
              <w:rPr>
                <w:rFonts w:hint="eastAsia"/>
                <w:lang w:eastAsia="zh-CN"/>
              </w:rPr>
              <w:t>×2的事故应急池，由全厂统筹使用。</w:t>
            </w:r>
          </w:p>
          <w:p>
            <w:pPr>
              <w:numPr>
                <w:ilvl w:val="0"/>
                <w:numId w:val="0"/>
              </w:numPr>
              <w:jc w:val="both"/>
              <w:rPr>
                <w:rFonts w:hint="eastAsia"/>
                <w:lang w:eastAsia="zh-CN"/>
              </w:rPr>
            </w:pPr>
            <w:r>
              <w:rPr>
                <w:rFonts w:hint="eastAsia"/>
                <w:lang w:eastAsia="zh-CN"/>
              </w:rPr>
              <w:t>4.设置冷却水循环系统，冷却水不外排。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shd w:val="clear" w:color="auto" w:fill="auto"/>
            <w:vAlign w:val="center"/>
          </w:tcPr>
          <w:p>
            <w:pPr>
              <w:jc w:val="center"/>
              <w:rPr>
                <w:b/>
                <w:bCs/>
              </w:rPr>
            </w:pPr>
            <w:r>
              <w:rPr>
                <w:b/>
                <w:bCs/>
              </w:rPr>
              <w:t>2</w:t>
            </w:r>
          </w:p>
        </w:tc>
        <w:tc>
          <w:tcPr>
            <w:tcW w:w="4993" w:type="dxa"/>
            <w:shd w:val="clear" w:color="auto" w:fill="auto"/>
            <w:vAlign w:val="center"/>
          </w:tcPr>
          <w:p>
            <w:pPr>
              <w:rPr>
                <w:rFonts w:hint="eastAsia"/>
                <w:lang w:eastAsia="zh-CN"/>
              </w:rPr>
            </w:pPr>
            <w:r>
              <w:rPr>
                <w:rFonts w:hint="eastAsia"/>
                <w:lang w:eastAsia="zh-CN"/>
              </w:rPr>
              <w:t>严格控制运营期大气污染。</w:t>
            </w:r>
          </w:p>
          <w:p>
            <w:pPr>
              <w:rPr>
                <w:rFonts w:hint="eastAsia"/>
                <w:lang w:eastAsia="zh-CN"/>
              </w:rPr>
            </w:pPr>
            <w:r>
              <w:rPr>
                <w:rFonts w:hint="eastAsia"/>
                <w:lang w:eastAsia="zh-CN"/>
              </w:rPr>
              <w:t>1.工艺工程中所产生的氟化氢、氟气、氟氧基三氟甲烷等气体须经碱洗、冷凝回收后达标排放。</w:t>
            </w:r>
          </w:p>
          <w:p>
            <w:r>
              <w:rPr>
                <w:rFonts w:hint="eastAsia"/>
                <w:lang w:eastAsia="zh-CN"/>
              </w:rPr>
              <w:t>2.等离子裂解炉尾气应经急冷塔、三级水吸收塔和碱洗塔五级净化，由40米的排气筒达标排放。排气筒应规范设置采样孔和采样平台。</w:t>
            </w:r>
          </w:p>
        </w:tc>
        <w:tc>
          <w:tcPr>
            <w:tcW w:w="2817" w:type="dxa"/>
            <w:shd w:val="clear" w:color="auto" w:fill="auto"/>
            <w:vAlign w:val="center"/>
          </w:tcPr>
          <w:p>
            <w:pPr>
              <w:jc w:val="center"/>
              <w:rPr>
                <w:rFonts w:hint="eastAsia" w:eastAsia="宋体"/>
                <w:szCs w:val="21"/>
                <w:lang w:eastAsia="zh-CN"/>
              </w:rPr>
            </w:pPr>
            <w:r>
              <w:rPr>
                <w:rFonts w:hint="eastAsia"/>
                <w:lang w:eastAsia="zh-CN"/>
              </w:rPr>
              <w:t>均已按环评要求落实，监测结果显示，废气均达标排放。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shd w:val="clear" w:color="auto" w:fill="auto"/>
            <w:vAlign w:val="center"/>
          </w:tcPr>
          <w:p>
            <w:pPr>
              <w:jc w:val="center"/>
              <w:rPr>
                <w:b/>
                <w:bCs/>
              </w:rPr>
            </w:pPr>
            <w:r>
              <w:rPr>
                <w:b/>
                <w:bCs/>
              </w:rPr>
              <w:t>3</w:t>
            </w:r>
          </w:p>
        </w:tc>
        <w:tc>
          <w:tcPr>
            <w:tcW w:w="4993" w:type="dxa"/>
            <w:shd w:val="clear" w:color="auto" w:fill="auto"/>
            <w:vAlign w:val="center"/>
          </w:tcPr>
          <w:p>
            <w:pPr>
              <w:jc w:val="both"/>
              <w:rPr>
                <w:rFonts w:hint="eastAsia"/>
                <w:lang w:eastAsia="zh-CN"/>
              </w:rPr>
            </w:pPr>
            <w:r>
              <w:rPr>
                <w:rFonts w:hint="eastAsia"/>
                <w:lang w:eastAsia="zh-CN"/>
              </w:rPr>
              <w:t>严格控制运营期噪声污染。</w:t>
            </w:r>
          </w:p>
          <w:p>
            <w:pPr>
              <w:jc w:val="both"/>
              <w:rPr>
                <w:rFonts w:hint="eastAsia"/>
                <w:lang w:eastAsia="zh-CN"/>
              </w:rPr>
            </w:pPr>
            <w:r>
              <w:rPr>
                <w:rFonts w:hint="eastAsia"/>
                <w:lang w:eastAsia="zh-CN"/>
              </w:rPr>
              <w:t>1.高噪声设备设置隔声房，同时对高噪设备设置防振垫等减振降噪措施并合理进行厂区布局，并做好厂区四周绿化。</w:t>
            </w:r>
          </w:p>
          <w:p>
            <w:pPr>
              <w:jc w:val="both"/>
              <w:rPr>
                <w:rFonts w:hint="eastAsia"/>
                <w:lang w:eastAsia="zh-CN"/>
              </w:rPr>
            </w:pPr>
            <w:r>
              <w:rPr>
                <w:rFonts w:hint="eastAsia"/>
                <w:lang w:eastAsia="zh-CN"/>
              </w:rPr>
              <w:t>2.综合考虑厂区内道路机动车行驶范围，设置汽车禁鸣标志，降低交通噪声影响。</w:t>
            </w:r>
          </w:p>
        </w:tc>
        <w:tc>
          <w:tcPr>
            <w:tcW w:w="2817" w:type="dxa"/>
            <w:shd w:val="clear" w:color="auto" w:fill="auto"/>
            <w:vAlign w:val="center"/>
          </w:tcPr>
          <w:p>
            <w:pPr>
              <w:jc w:val="center"/>
              <w:rPr>
                <w:rFonts w:hint="eastAsia"/>
                <w:lang w:eastAsia="zh-CN"/>
              </w:rPr>
            </w:pPr>
            <w:r>
              <w:rPr>
                <w:rFonts w:hint="eastAsia"/>
                <w:lang w:eastAsia="zh-CN"/>
              </w:rPr>
              <w:t>已严格按照环评要求进行落实。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shd w:val="clear" w:color="auto" w:fill="auto"/>
            <w:vAlign w:val="center"/>
          </w:tcPr>
          <w:p>
            <w:pPr>
              <w:jc w:val="center"/>
              <w:rPr>
                <w:b/>
                <w:bCs/>
              </w:rPr>
            </w:pPr>
            <w:r>
              <w:rPr>
                <w:b/>
                <w:bCs/>
              </w:rPr>
              <w:t>4</w:t>
            </w:r>
          </w:p>
        </w:tc>
        <w:tc>
          <w:tcPr>
            <w:tcW w:w="4993" w:type="dxa"/>
            <w:shd w:val="clear" w:color="auto" w:fill="auto"/>
            <w:vAlign w:val="center"/>
          </w:tcPr>
          <w:p>
            <w:pPr>
              <w:jc w:val="both"/>
              <w:rPr>
                <w:rFonts w:hint="eastAsia"/>
                <w:lang w:eastAsia="zh-CN"/>
              </w:rPr>
            </w:pPr>
            <w:r>
              <w:rPr>
                <w:rFonts w:hint="eastAsia"/>
                <w:lang w:eastAsia="zh-CN"/>
              </w:rPr>
              <w:t>严格控制运营期固体废物污染。</w:t>
            </w:r>
          </w:p>
          <w:p>
            <w:pPr>
              <w:jc w:val="both"/>
              <w:rPr>
                <w:rFonts w:hint="eastAsia"/>
                <w:lang w:eastAsia="zh-CN"/>
              </w:rPr>
            </w:pPr>
            <w:r>
              <w:rPr>
                <w:rFonts w:hint="eastAsia"/>
                <w:lang w:eastAsia="zh-CN"/>
              </w:rPr>
              <w:t>1.检修废弃物加强分拣，分类存放。</w:t>
            </w:r>
          </w:p>
          <w:p>
            <w:pPr>
              <w:jc w:val="both"/>
              <w:rPr>
                <w:rFonts w:hint="eastAsia"/>
                <w:lang w:eastAsia="zh-CN"/>
              </w:rPr>
            </w:pPr>
            <w:r>
              <w:rPr>
                <w:rFonts w:hint="eastAsia"/>
                <w:lang w:eastAsia="zh-CN"/>
              </w:rPr>
              <w:t>2.生活垃圾采用垃圾袋装收集，委托环卫部门清运处理。</w:t>
            </w:r>
          </w:p>
          <w:p>
            <w:pPr>
              <w:jc w:val="both"/>
              <w:rPr>
                <w:rFonts w:hint="eastAsia"/>
                <w:lang w:eastAsia="zh-CN"/>
              </w:rPr>
            </w:pPr>
            <w:r>
              <w:rPr>
                <w:rFonts w:hint="eastAsia"/>
                <w:lang w:eastAsia="zh-CN"/>
              </w:rPr>
              <w:t>3.含氟泥渣进行脱水处理后综合利用,污水污泥由有清掏处置资质的单位进行清掏处置，不得外排</w:t>
            </w:r>
            <w:r>
              <w:rPr>
                <w:rFonts w:ascii="宋体" w:hAnsi="宋体" w:eastAsia="宋体" w:cs="宋体"/>
                <w:sz w:val="24"/>
                <w:szCs w:val="24"/>
              </w:rPr>
              <w:t>。</w:t>
            </w:r>
          </w:p>
        </w:tc>
        <w:tc>
          <w:tcPr>
            <w:tcW w:w="2817" w:type="dxa"/>
            <w:shd w:val="clear" w:color="auto" w:fill="auto"/>
            <w:vAlign w:val="center"/>
          </w:tcPr>
          <w:p>
            <w:pPr>
              <w:jc w:val="center"/>
              <w:rPr>
                <w:rFonts w:hint="eastAsia"/>
                <w:lang w:eastAsia="zh-CN"/>
              </w:rPr>
            </w:pPr>
            <w:r>
              <w:rPr>
                <w:rFonts w:hint="eastAsia"/>
                <w:lang w:eastAsia="zh-CN"/>
              </w:rPr>
              <w:t>已严格按照环评要求进行落实。</w:t>
            </w:r>
          </w:p>
        </w:tc>
      </w:tr>
    </w:tbl>
    <w:p>
      <w:pPr>
        <w:pStyle w:val="4"/>
        <w:spacing w:before="120" w:after="120"/>
        <w:jc w:val="center"/>
        <w:rPr>
          <w:rFonts w:eastAsia="宋体"/>
        </w:rPr>
      </w:pPr>
      <w:bookmarkStart w:id="64" w:name="_Toc50707421"/>
      <w:r>
        <w:rPr>
          <w:rFonts w:hint="eastAsia" w:eastAsia="宋体"/>
        </w:rPr>
        <w:t>5</w:t>
      </w:r>
      <w:r>
        <w:rPr>
          <w:rFonts w:eastAsia="宋体"/>
        </w:rPr>
        <w:t>验收评价标准及总量控制</w:t>
      </w:r>
      <w:bookmarkEnd w:id="64"/>
    </w:p>
    <w:p>
      <w:pPr>
        <w:snapToGrid w:val="0"/>
        <w:spacing w:line="360" w:lineRule="auto"/>
        <w:ind w:firstLine="480" w:firstLineChars="200"/>
        <w:rPr>
          <w:sz w:val="24"/>
        </w:rPr>
      </w:pPr>
      <w:r>
        <w:rPr>
          <w:rFonts w:hint="eastAsia"/>
          <w:sz w:val="24"/>
        </w:rPr>
        <w:t>验收监测执行以下标准：</w:t>
      </w:r>
    </w:p>
    <w:p>
      <w:pPr>
        <w:pStyle w:val="5"/>
        <w:spacing w:before="120" w:after="120"/>
        <w:rPr>
          <w:rFonts w:ascii="Times New Roman" w:hAnsi="Times New Roman" w:eastAsia="宋体"/>
          <w:b/>
          <w:szCs w:val="30"/>
        </w:rPr>
      </w:pPr>
      <w:bookmarkStart w:id="65" w:name="5.1验收评价标准"/>
      <w:bookmarkEnd w:id="65"/>
      <w:bookmarkStart w:id="66" w:name="_bookmark23"/>
      <w:bookmarkEnd w:id="66"/>
      <w:bookmarkStart w:id="67" w:name="_Toc50707422"/>
      <w:r>
        <w:rPr>
          <w:rFonts w:hint="eastAsia" w:ascii="Times New Roman" w:hAnsi="Times New Roman" w:eastAsia="宋体"/>
          <w:b/>
          <w:szCs w:val="30"/>
        </w:rPr>
        <w:t>5</w:t>
      </w:r>
      <w:r>
        <w:rPr>
          <w:rFonts w:ascii="Times New Roman" w:hAnsi="Times New Roman" w:eastAsia="宋体"/>
          <w:b/>
          <w:szCs w:val="30"/>
        </w:rPr>
        <w:t>.1验收评价标准</w:t>
      </w:r>
      <w:bookmarkEnd w:id="67"/>
    </w:p>
    <w:p>
      <w:pPr>
        <w:snapToGrid w:val="0"/>
        <w:spacing w:line="360" w:lineRule="auto"/>
        <w:ind w:firstLine="480" w:firstLineChars="200"/>
        <w:rPr>
          <w:sz w:val="24"/>
        </w:rPr>
      </w:pPr>
      <w:r>
        <w:rPr>
          <w:sz w:val="24"/>
        </w:rPr>
        <w:t>本次验收执行的环境标准及指标原则上与《</w:t>
      </w:r>
      <w:r>
        <w:rPr>
          <w:rFonts w:hint="eastAsia"/>
          <w:sz w:val="24"/>
          <w:lang w:eastAsia="zh-CN"/>
        </w:rPr>
        <w:t>中昊晨光化工研究院有限公司</w:t>
      </w:r>
      <w:r>
        <w:rPr>
          <w:rFonts w:hint="eastAsia"/>
          <w:sz w:val="24"/>
        </w:rPr>
        <w:t>关键材料技术自主化能力</w:t>
      </w:r>
      <w:r>
        <w:rPr>
          <w:sz w:val="24"/>
        </w:rPr>
        <w:t>建设项目环境影响报告书》中所采用的评价标准一致，对已修订新颁布的环境标准则采取新标准进行校核。</w:t>
      </w:r>
    </w:p>
    <w:p>
      <w:pPr>
        <w:snapToGrid w:val="0"/>
        <w:spacing w:line="360" w:lineRule="auto"/>
        <w:ind w:firstLine="480" w:firstLineChars="200"/>
        <w:rPr>
          <w:sz w:val="24"/>
        </w:rPr>
      </w:pPr>
      <w:bookmarkStart w:id="68" w:name="5.2总量控制"/>
      <w:bookmarkEnd w:id="68"/>
      <w:bookmarkStart w:id="69" w:name="_bookmark24"/>
      <w:bookmarkEnd w:id="69"/>
      <w:r>
        <w:rPr>
          <w:sz w:val="24"/>
        </w:rPr>
        <w:t>1、大气污染物</w:t>
      </w:r>
    </w:p>
    <w:p>
      <w:pPr>
        <w:snapToGrid w:val="0"/>
        <w:spacing w:line="360" w:lineRule="auto"/>
        <w:ind w:firstLine="480" w:firstLineChars="200"/>
        <w:rPr>
          <w:rFonts w:hint="eastAsia"/>
          <w:sz w:val="24"/>
        </w:rPr>
      </w:pPr>
      <w:r>
        <w:rPr>
          <w:rFonts w:hint="eastAsia"/>
          <w:sz w:val="24"/>
        </w:rPr>
        <w:t>项目大气污染物排放执行《大气污染物综合排放标准》（</w:t>
      </w:r>
      <w:r>
        <w:rPr>
          <w:sz w:val="24"/>
        </w:rPr>
        <w:t>GB16297-1996</w:t>
      </w:r>
      <w:r>
        <w:rPr>
          <w:rFonts w:hint="eastAsia"/>
          <w:sz w:val="24"/>
        </w:rPr>
        <w:t>）二级标准。</w:t>
      </w:r>
    </w:p>
    <w:p>
      <w:pPr>
        <w:snapToGrid w:val="0"/>
        <w:spacing w:line="360" w:lineRule="auto"/>
        <w:ind w:firstLine="480" w:firstLineChars="200"/>
        <w:rPr>
          <w:sz w:val="24"/>
        </w:rPr>
      </w:pPr>
      <w:r>
        <w:rPr>
          <w:sz w:val="24"/>
        </w:rPr>
        <w:t>2、</w:t>
      </w:r>
      <w:r>
        <w:rPr>
          <w:rFonts w:hint="eastAsia"/>
          <w:sz w:val="24"/>
        </w:rPr>
        <w:t>废水</w:t>
      </w:r>
    </w:p>
    <w:p>
      <w:pPr>
        <w:snapToGrid w:val="0"/>
        <w:spacing w:line="360" w:lineRule="auto"/>
        <w:ind w:firstLine="480" w:firstLineChars="200"/>
        <w:rPr>
          <w:rFonts w:ascii="宋体" w:hAnsi="宋体"/>
          <w:kern w:val="0"/>
          <w:szCs w:val="21"/>
        </w:rPr>
      </w:pPr>
      <w:r>
        <w:rPr>
          <w:rFonts w:hint="eastAsia"/>
          <w:sz w:val="24"/>
        </w:rPr>
        <w:t>本项目氟橡胶车间废水和质检车间的实验废水经管网收集后输送至晨光基地厂区综合废水站处理，MOVE实验楼废水经管网输送至晨光基地厂区含氟废水站处理，均处理达《污水综合排放标准》（</w:t>
      </w:r>
      <w:r>
        <w:rPr>
          <w:sz w:val="24"/>
        </w:rPr>
        <w:t>GB8978-1996</w:t>
      </w:r>
      <w:r>
        <w:rPr>
          <w:rFonts w:hint="eastAsia"/>
          <w:sz w:val="24"/>
        </w:rPr>
        <w:t>）中的三级标准、《污水排入城镇下水道水质标准》（</w:t>
      </w:r>
      <w:r>
        <w:rPr>
          <w:sz w:val="24"/>
        </w:rPr>
        <w:t>GB/T31962-2015</w:t>
      </w:r>
      <w:r>
        <w:rPr>
          <w:rFonts w:hint="eastAsia"/>
          <w:sz w:val="24"/>
        </w:rPr>
        <w:t>）B级标准及园区污水处理厂进水水质（氟化物＜1</w:t>
      </w:r>
      <w:r>
        <w:rPr>
          <w:sz w:val="24"/>
        </w:rPr>
        <w:t>0</w:t>
      </w:r>
      <w:r>
        <w:rPr>
          <w:rFonts w:hint="eastAsia"/>
          <w:sz w:val="24"/>
        </w:rPr>
        <w:t>mg</w:t>
      </w:r>
      <w:r>
        <w:rPr>
          <w:sz w:val="24"/>
        </w:rPr>
        <w:t>/L</w:t>
      </w:r>
      <w:r>
        <w:rPr>
          <w:rFonts w:hint="eastAsia"/>
          <w:sz w:val="24"/>
        </w:rPr>
        <w:t>）要求后，排入园区污水处理厂，经园区污水处理厂处理达《四川省岷江、沱江流域水污染物排放标准》（</w:t>
      </w:r>
      <w:r>
        <w:rPr>
          <w:sz w:val="24"/>
        </w:rPr>
        <w:t>DB51/2311-2016</w:t>
      </w:r>
      <w:r>
        <w:rPr>
          <w:rFonts w:hint="eastAsia"/>
          <w:sz w:val="24"/>
        </w:rPr>
        <w:t>）中“工业园区集中式污水处理厂”排放标准后排入沱江。</w:t>
      </w:r>
    </w:p>
    <w:p>
      <w:pPr>
        <w:snapToGrid w:val="0"/>
        <w:spacing w:line="360" w:lineRule="auto"/>
        <w:ind w:firstLine="480" w:firstLineChars="200"/>
        <w:rPr>
          <w:rFonts w:hint="eastAsia"/>
          <w:sz w:val="24"/>
        </w:rPr>
      </w:pPr>
      <w:r>
        <w:rPr>
          <w:rFonts w:hint="eastAsia"/>
          <w:sz w:val="24"/>
        </w:rPr>
        <w:t>3、噪声</w:t>
      </w:r>
    </w:p>
    <w:p>
      <w:pPr>
        <w:snapToGrid w:val="0"/>
        <w:spacing w:line="360" w:lineRule="auto"/>
        <w:ind w:firstLine="480" w:firstLineChars="200"/>
        <w:rPr>
          <w:rFonts w:hint="eastAsia"/>
          <w:sz w:val="24"/>
        </w:rPr>
      </w:pPr>
      <w:r>
        <w:rPr>
          <w:rFonts w:hint="eastAsia"/>
          <w:sz w:val="24"/>
        </w:rPr>
        <w:t>营运期环境噪声执行《工业企业厂界环境噪声排放标准》（GB12348-2008）3类标准。具体指标见表5.1-4。</w:t>
      </w:r>
    </w:p>
    <w:p>
      <w:pPr>
        <w:spacing w:line="360" w:lineRule="auto"/>
        <w:ind w:firstLine="480" w:firstLineChars="200"/>
        <w:jc w:val="center"/>
        <w:rPr>
          <w:bCs/>
          <w:sz w:val="24"/>
        </w:rPr>
      </w:pPr>
      <w:r>
        <w:rPr>
          <w:bCs/>
          <w:sz w:val="24"/>
        </w:rPr>
        <w:t>表5.1-4  工业企业厂界环境噪声排放标准（GB12348-2008）</w:t>
      </w:r>
    </w:p>
    <w:tbl>
      <w:tblPr>
        <w:tblStyle w:val="43"/>
        <w:tblW w:w="87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91"/>
        <w:gridCol w:w="2449"/>
        <w:gridCol w:w="33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891" w:type="dxa"/>
            <w:vMerge w:val="restart"/>
            <w:tcBorders>
              <w:top w:val="single" w:color="auto" w:sz="12" w:space="0"/>
            </w:tcBorders>
            <w:vAlign w:val="center"/>
          </w:tcPr>
          <w:p>
            <w:pPr>
              <w:jc w:val="center"/>
              <w:rPr>
                <w:b/>
                <w:bCs/>
                <w:szCs w:val="21"/>
              </w:rPr>
            </w:pPr>
            <w:r>
              <w:rPr>
                <w:b/>
                <w:bCs/>
                <w:szCs w:val="21"/>
              </w:rPr>
              <w:t>标准类别</w:t>
            </w:r>
          </w:p>
        </w:tc>
        <w:tc>
          <w:tcPr>
            <w:tcW w:w="5817" w:type="dxa"/>
            <w:gridSpan w:val="2"/>
            <w:tcBorders>
              <w:top w:val="single" w:color="auto" w:sz="12" w:space="0"/>
            </w:tcBorders>
            <w:vAlign w:val="center"/>
          </w:tcPr>
          <w:p>
            <w:pPr>
              <w:jc w:val="center"/>
              <w:rPr>
                <w:b/>
                <w:bCs/>
                <w:szCs w:val="21"/>
              </w:rPr>
            </w:pPr>
            <w:r>
              <w:rPr>
                <w:b/>
                <w:bCs/>
                <w:szCs w:val="21"/>
              </w:rPr>
              <w:t>等效声级   L</w:t>
            </w:r>
            <w:r>
              <w:rPr>
                <w:b/>
                <w:bCs/>
                <w:szCs w:val="21"/>
                <w:vertAlign w:val="subscript"/>
              </w:rPr>
              <w:t>Aeq</w:t>
            </w:r>
            <w:r>
              <w:rPr>
                <w:b/>
                <w:bCs/>
                <w:szCs w:val="21"/>
              </w:rPr>
              <w:t>(dB)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91" w:type="dxa"/>
            <w:vMerge w:val="continue"/>
            <w:vAlign w:val="center"/>
          </w:tcPr>
          <w:p>
            <w:pPr>
              <w:jc w:val="center"/>
              <w:rPr>
                <w:b/>
                <w:bCs/>
                <w:szCs w:val="21"/>
              </w:rPr>
            </w:pPr>
          </w:p>
        </w:tc>
        <w:tc>
          <w:tcPr>
            <w:tcW w:w="2449" w:type="dxa"/>
            <w:vAlign w:val="center"/>
          </w:tcPr>
          <w:p>
            <w:pPr>
              <w:jc w:val="center"/>
              <w:rPr>
                <w:b/>
                <w:bCs/>
                <w:szCs w:val="21"/>
              </w:rPr>
            </w:pPr>
            <w:r>
              <w:rPr>
                <w:b/>
                <w:bCs/>
                <w:szCs w:val="21"/>
              </w:rPr>
              <w:t>昼间</w:t>
            </w:r>
          </w:p>
        </w:tc>
        <w:tc>
          <w:tcPr>
            <w:tcW w:w="3368" w:type="dxa"/>
            <w:vAlign w:val="center"/>
          </w:tcPr>
          <w:p>
            <w:pPr>
              <w:jc w:val="center"/>
              <w:rPr>
                <w:b/>
                <w:bCs/>
                <w:szCs w:val="21"/>
              </w:rPr>
            </w:pPr>
            <w:r>
              <w:rPr>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91" w:type="dxa"/>
            <w:tcBorders>
              <w:bottom w:val="single" w:color="auto" w:sz="12" w:space="0"/>
            </w:tcBorders>
            <w:vAlign w:val="center"/>
          </w:tcPr>
          <w:p>
            <w:pPr>
              <w:jc w:val="center"/>
              <w:rPr>
                <w:szCs w:val="21"/>
              </w:rPr>
            </w:pPr>
            <w:r>
              <w:rPr>
                <w:szCs w:val="21"/>
              </w:rPr>
              <w:t>3类</w:t>
            </w:r>
          </w:p>
        </w:tc>
        <w:tc>
          <w:tcPr>
            <w:tcW w:w="2449" w:type="dxa"/>
            <w:tcBorders>
              <w:bottom w:val="single" w:color="auto" w:sz="12" w:space="0"/>
            </w:tcBorders>
            <w:vAlign w:val="center"/>
          </w:tcPr>
          <w:p>
            <w:pPr>
              <w:jc w:val="center"/>
              <w:rPr>
                <w:szCs w:val="21"/>
              </w:rPr>
            </w:pPr>
            <w:r>
              <w:rPr>
                <w:szCs w:val="21"/>
              </w:rPr>
              <w:t>65</w:t>
            </w:r>
          </w:p>
        </w:tc>
        <w:tc>
          <w:tcPr>
            <w:tcW w:w="3368" w:type="dxa"/>
            <w:tcBorders>
              <w:bottom w:val="single" w:color="auto" w:sz="12" w:space="0"/>
            </w:tcBorders>
            <w:vAlign w:val="center"/>
          </w:tcPr>
          <w:p>
            <w:pPr>
              <w:jc w:val="center"/>
              <w:rPr>
                <w:szCs w:val="21"/>
              </w:rPr>
            </w:pPr>
            <w:r>
              <w:rPr>
                <w:szCs w:val="21"/>
              </w:rPr>
              <w:t>55</w:t>
            </w:r>
          </w:p>
        </w:tc>
      </w:tr>
    </w:tbl>
    <w:p>
      <w:pPr>
        <w:spacing w:line="360" w:lineRule="auto"/>
        <w:ind w:firstLine="480" w:firstLineChars="200"/>
        <w:rPr>
          <w:sz w:val="24"/>
        </w:rPr>
      </w:pPr>
      <w:r>
        <w:rPr>
          <w:sz w:val="24"/>
        </w:rPr>
        <w:t>4、固体废弃物</w:t>
      </w:r>
    </w:p>
    <w:p>
      <w:pPr>
        <w:spacing w:line="360" w:lineRule="auto"/>
        <w:ind w:firstLine="480" w:firstLineChars="200"/>
        <w:rPr>
          <w:sz w:val="24"/>
        </w:rPr>
      </w:pPr>
      <w:r>
        <w:rPr>
          <w:sz w:val="24"/>
        </w:rPr>
        <w:t>一般工业固废执行《一般工业固体废物贮存、处置污染物控制标准》（GB18599-2001），并积极寻求综合利用途径；危险废物执行《危险废物贮存污染物控制标准》（GB18597-2001）、《危险废物填埋污染控制标准》（GB18598-2001）或交由有资质的单位进行处理。</w:t>
      </w:r>
    </w:p>
    <w:p>
      <w:pPr>
        <w:pStyle w:val="4"/>
        <w:spacing w:before="120" w:after="120"/>
        <w:jc w:val="center"/>
        <w:rPr>
          <w:rFonts w:eastAsia="宋体"/>
        </w:rPr>
      </w:pPr>
      <w:bookmarkStart w:id="70" w:name="_Toc50707424"/>
      <w:r>
        <w:rPr>
          <w:rFonts w:hint="eastAsia" w:eastAsia="宋体"/>
        </w:rPr>
        <w:t>6</w:t>
      </w:r>
      <w:r>
        <w:rPr>
          <w:rFonts w:eastAsia="宋体"/>
        </w:rPr>
        <w:t>验收监测工作内容</w:t>
      </w:r>
      <w:bookmarkEnd w:id="70"/>
    </w:p>
    <w:p>
      <w:pPr>
        <w:pStyle w:val="5"/>
        <w:spacing w:before="120" w:after="120"/>
        <w:rPr>
          <w:rFonts w:ascii="Times New Roman" w:hAnsi="Times New Roman" w:eastAsia="宋体"/>
          <w:b/>
          <w:szCs w:val="30"/>
        </w:rPr>
      </w:pPr>
      <w:bookmarkStart w:id="71" w:name="_bookmark26"/>
      <w:bookmarkEnd w:id="71"/>
      <w:bookmarkStart w:id="72" w:name="6.1_验收监测工作内容"/>
      <w:bookmarkEnd w:id="72"/>
      <w:bookmarkStart w:id="73" w:name="_Toc50707425"/>
      <w:r>
        <w:rPr>
          <w:rFonts w:hint="eastAsia" w:ascii="Times New Roman" w:hAnsi="Times New Roman" w:eastAsia="宋体"/>
          <w:b/>
          <w:szCs w:val="30"/>
        </w:rPr>
        <w:t>6</w:t>
      </w:r>
      <w:r>
        <w:rPr>
          <w:rFonts w:ascii="Times New Roman" w:hAnsi="Times New Roman" w:eastAsia="宋体"/>
          <w:b/>
          <w:szCs w:val="30"/>
        </w:rPr>
        <w:t>.1 验收监测工作内容</w:t>
      </w:r>
      <w:bookmarkEnd w:id="73"/>
    </w:p>
    <w:p>
      <w:pPr>
        <w:snapToGrid w:val="0"/>
        <w:spacing w:line="360" w:lineRule="auto"/>
        <w:ind w:firstLine="480" w:firstLineChars="200"/>
        <w:rPr>
          <w:rFonts w:ascii="宋体" w:hAnsi="宋体"/>
          <w:b/>
          <w:sz w:val="24"/>
        </w:rPr>
        <w:sectPr>
          <w:pgSz w:w="11906" w:h="16838"/>
          <w:pgMar w:top="1089" w:right="1826" w:bottom="1440" w:left="1588" w:header="877" w:footer="1098" w:gutter="0"/>
          <w:cols w:space="720" w:num="1"/>
        </w:sectPr>
      </w:pPr>
      <w:r>
        <w:rPr>
          <w:sz w:val="24"/>
        </w:rPr>
        <w:t>本次验收监测主要根据《建设项目环境保护设施竣工验收监测技术要求》中的相关技术要求进行监测。</w:t>
      </w:r>
    </w:p>
    <w:p>
      <w:pPr>
        <w:pStyle w:val="5"/>
        <w:spacing w:before="156" w:after="156"/>
        <w:rPr>
          <w:rFonts w:ascii="Times New Roman" w:hAnsi="Times New Roman" w:eastAsia="宋体"/>
          <w:b/>
          <w:szCs w:val="30"/>
        </w:rPr>
      </w:pPr>
      <w:bookmarkStart w:id="74" w:name="_bookmark27"/>
      <w:bookmarkEnd w:id="74"/>
      <w:bookmarkStart w:id="75" w:name="6.2_验收监测分析方法"/>
      <w:bookmarkEnd w:id="75"/>
      <w:bookmarkStart w:id="76" w:name="_Toc50707426"/>
      <w:r>
        <w:rPr>
          <w:rFonts w:hint="eastAsia" w:ascii="Times New Roman" w:hAnsi="Times New Roman" w:eastAsia="宋体"/>
          <w:b/>
          <w:szCs w:val="30"/>
        </w:rPr>
        <w:t>6</w:t>
      </w:r>
      <w:r>
        <w:rPr>
          <w:rFonts w:ascii="Times New Roman" w:hAnsi="Times New Roman" w:eastAsia="宋体"/>
          <w:b/>
          <w:szCs w:val="30"/>
        </w:rPr>
        <w:t>.2验收监测</w:t>
      </w:r>
      <w:r>
        <w:rPr>
          <w:rFonts w:hint="eastAsia" w:ascii="Times New Roman" w:hAnsi="Times New Roman" w:eastAsia="宋体"/>
          <w:b/>
          <w:szCs w:val="30"/>
        </w:rPr>
        <w:t>分</w:t>
      </w:r>
      <w:r>
        <w:rPr>
          <w:rFonts w:ascii="Times New Roman" w:hAnsi="Times New Roman" w:eastAsia="宋体"/>
          <w:b/>
          <w:szCs w:val="30"/>
        </w:rPr>
        <w:t>析方法</w:t>
      </w:r>
      <w:bookmarkEnd w:id="76"/>
    </w:p>
    <w:p>
      <w:pPr>
        <w:snapToGrid w:val="0"/>
        <w:spacing w:line="360" w:lineRule="auto"/>
        <w:ind w:firstLine="480" w:firstLineChars="200"/>
        <w:rPr>
          <w:sz w:val="24"/>
        </w:rPr>
      </w:pPr>
      <w:r>
        <w:rPr>
          <w:rFonts w:hint="eastAsia"/>
          <w:sz w:val="24"/>
        </w:rPr>
        <w:t>监测方法、方法来源、使用仪器及检出限见表</w:t>
      </w:r>
      <w:r>
        <w:rPr>
          <w:sz w:val="24"/>
        </w:rPr>
        <w:t>6.2</w:t>
      </w:r>
      <w:r>
        <w:rPr>
          <w:rFonts w:hint="eastAsia"/>
          <w:sz w:val="24"/>
        </w:rPr>
        <w:t>-1。</w:t>
      </w:r>
    </w:p>
    <w:p>
      <w:pPr>
        <w:spacing w:line="520" w:lineRule="exact"/>
        <w:jc w:val="center"/>
        <w:rPr>
          <w:rFonts w:ascii="宋体" w:hAnsi="宋体"/>
          <w:b/>
          <w:sz w:val="24"/>
        </w:rPr>
        <w:sectPr>
          <w:headerReference r:id="rId4" w:type="default"/>
          <w:type w:val="continuous"/>
          <w:pgSz w:w="11906" w:h="16838"/>
          <w:pgMar w:top="1440" w:right="1800" w:bottom="1440" w:left="1800" w:header="851" w:footer="992" w:gutter="0"/>
          <w:cols w:space="720" w:num="1"/>
          <w:docGrid w:type="lines" w:linePitch="312" w:charSpace="0"/>
        </w:sectPr>
      </w:pPr>
    </w:p>
    <w:p>
      <w:pPr>
        <w:spacing w:line="360" w:lineRule="auto"/>
        <w:ind w:firstLine="480" w:firstLineChars="200"/>
        <w:jc w:val="center"/>
        <w:rPr>
          <w:bCs/>
          <w:sz w:val="24"/>
        </w:rPr>
      </w:pPr>
      <w:r>
        <w:rPr>
          <w:rFonts w:hint="eastAsia"/>
          <w:bCs/>
          <w:sz w:val="24"/>
        </w:rPr>
        <w:t>表</w:t>
      </w:r>
      <w:r>
        <w:rPr>
          <w:bCs/>
          <w:sz w:val="24"/>
        </w:rPr>
        <w:t>6.2</w:t>
      </w:r>
      <w:r>
        <w:rPr>
          <w:rFonts w:hint="eastAsia"/>
          <w:bCs/>
          <w:sz w:val="24"/>
        </w:rPr>
        <w:t>-1 废气检测方法、方法来源及检出限</w:t>
      </w:r>
    </w:p>
    <w:tbl>
      <w:tblPr>
        <w:tblStyle w:val="44"/>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2"/>
        <w:gridCol w:w="993"/>
        <w:gridCol w:w="3495"/>
        <w:gridCol w:w="1695"/>
        <w:gridCol w:w="1095"/>
        <w:gridCol w:w="1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lang w:val="en-US"/>
                <w14:textFill>
                  <w14:solidFill>
                    <w14:schemeClr w14:val="tx1"/>
                  </w14:solidFill>
                </w14:textFill>
              </w:rPr>
              <w:t>检测类别</w:t>
            </w:r>
          </w:p>
        </w:tc>
        <w:tc>
          <w:tcPr>
            <w:tcW w:w="993"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lang w:val="en-US"/>
                <w14:textFill>
                  <w14:solidFill>
                    <w14:schemeClr w14:val="tx1"/>
                  </w14:solidFill>
                </w14:textFill>
              </w:rPr>
              <w:t>检测项目</w:t>
            </w:r>
          </w:p>
        </w:tc>
        <w:tc>
          <w:tcPr>
            <w:tcW w:w="3495"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lang w:val="en-US"/>
                <w14:textFill>
                  <w14:solidFill>
                    <w14:schemeClr w14:val="tx1"/>
                  </w14:solidFill>
                </w14:textFill>
              </w:rPr>
              <w:t>检测方法</w:t>
            </w:r>
          </w:p>
        </w:tc>
        <w:tc>
          <w:tcPr>
            <w:tcW w:w="1695"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lang w:val="en-US"/>
                <w14:textFill>
                  <w14:solidFill>
                    <w14:schemeClr w14:val="tx1"/>
                  </w14:solidFill>
                </w14:textFill>
              </w:rPr>
              <w:t>使用仪器</w:t>
            </w:r>
          </w:p>
        </w:tc>
        <w:tc>
          <w:tcPr>
            <w:tcW w:w="1095"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仪器编号</w:t>
            </w:r>
          </w:p>
        </w:tc>
        <w:tc>
          <w:tcPr>
            <w:tcW w:w="1084"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lang w:val="en-US"/>
                <w14:textFill>
                  <w14:solidFill>
                    <w14:schemeClr w14:val="tx1"/>
                  </w14:solidFill>
                </w14:textFill>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92" w:type="dxa"/>
            <w:vMerge w:val="restart"/>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有组织</w:t>
            </w:r>
          </w:p>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废气</w:t>
            </w:r>
          </w:p>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 xml:space="preserve"> </w:t>
            </w:r>
          </w:p>
        </w:tc>
        <w:tc>
          <w:tcPr>
            <w:tcW w:w="993" w:type="dxa"/>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样品采集</w:t>
            </w:r>
          </w:p>
        </w:tc>
        <w:tc>
          <w:tcPr>
            <w:tcW w:w="3495" w:type="dxa"/>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lang w:val="en-US"/>
              </w:rPr>
              <w:t>固定污染源排气中颗粒物测定与气态污染物采样方法</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rPr>
              <w:t>GB/T 16157-1996</w:t>
            </w:r>
          </w:p>
        </w:tc>
        <w:tc>
          <w:tcPr>
            <w:tcW w:w="16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智能烟尘烟气分析仪 EM-3088（3.0）</w:t>
            </w:r>
          </w:p>
        </w:tc>
        <w:tc>
          <w:tcPr>
            <w:tcW w:w="10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ZQ003-</w:t>
            </w:r>
            <w:r>
              <w:rPr>
                <w:rFonts w:hint="eastAsia" w:ascii="Times New Roman" w:hAnsi="Times New Roman" w:eastAsia="宋体" w:cs="Times New Roman"/>
                <w:sz w:val="21"/>
                <w:szCs w:val="21"/>
                <w:highlight w:val="none"/>
                <w:lang w:val="en-US" w:eastAsia="zh-CN"/>
              </w:rPr>
              <w:t>00</w:t>
            </w:r>
            <w:r>
              <w:rPr>
                <w:rFonts w:hint="eastAsia" w:eastAsia="宋体" w:cs="Times New Roman"/>
                <w:sz w:val="21"/>
                <w:szCs w:val="21"/>
                <w:highlight w:val="none"/>
                <w:lang w:val="en-US" w:eastAsia="zh-CN"/>
              </w:rPr>
              <w:t>1/002</w:t>
            </w:r>
          </w:p>
        </w:tc>
        <w:tc>
          <w:tcPr>
            <w:tcW w:w="1084" w:type="dxa"/>
            <w:vMerge w:val="restart"/>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continue"/>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sz w:val="21"/>
                <w:szCs w:val="21"/>
              </w:rPr>
            </w:pPr>
          </w:p>
        </w:tc>
        <w:tc>
          <w:tcPr>
            <w:tcW w:w="993" w:type="dxa"/>
            <w:vMerge w:val="continue"/>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sz w:val="21"/>
                <w:szCs w:val="21"/>
              </w:rPr>
            </w:pPr>
          </w:p>
        </w:tc>
        <w:tc>
          <w:tcPr>
            <w:tcW w:w="3495" w:type="dxa"/>
            <w:vMerge w:val="continue"/>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sz w:val="21"/>
                <w:szCs w:val="21"/>
              </w:rPr>
            </w:pPr>
          </w:p>
        </w:tc>
        <w:tc>
          <w:tcPr>
            <w:tcW w:w="16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ascii="Times New Roman" w:hAnsi="Times New Roman" w:eastAsia="宋体" w:cs="Times New Roman"/>
                <w:sz w:val="21"/>
                <w:szCs w:val="21"/>
                <w:highlight w:val="none"/>
                <w:lang w:val="en-US" w:eastAsia="zh-CN" w:bidi="zh-CN"/>
              </w:rPr>
            </w:pPr>
            <w:r>
              <w:rPr>
                <w:rFonts w:hint="eastAsia" w:ascii="Times New Roman" w:hAnsi="Times New Roman" w:eastAsia="宋体" w:cs="Times New Roman"/>
                <w:sz w:val="21"/>
                <w:szCs w:val="21"/>
                <w:highlight w:val="none"/>
                <w:lang w:val="en-US" w:eastAsia="zh-CN"/>
              </w:rPr>
              <w:t>智能双路烟气采样器EM-2072A</w:t>
            </w:r>
          </w:p>
        </w:tc>
        <w:tc>
          <w:tcPr>
            <w:tcW w:w="10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bCs/>
                <w:color w:val="000000"/>
                <w:sz w:val="21"/>
                <w:szCs w:val="21"/>
                <w:highlight w:val="none"/>
                <w:lang w:val="en-US" w:eastAsia="zh-CN"/>
              </w:rPr>
              <w:t>ZQ003-</w:t>
            </w:r>
            <w:r>
              <w:rPr>
                <w:rFonts w:hint="eastAsia" w:ascii="Times New Roman" w:hAnsi="Times New Roman" w:eastAsia="宋体" w:cs="Times New Roman"/>
                <w:bCs/>
                <w:color w:val="000000"/>
                <w:sz w:val="21"/>
                <w:szCs w:val="21"/>
                <w:highlight w:val="none"/>
                <w:lang w:val="en-US" w:eastAsia="zh-CN"/>
              </w:rPr>
              <w:t>103</w:t>
            </w:r>
          </w:p>
        </w:tc>
        <w:tc>
          <w:tcPr>
            <w:tcW w:w="1084" w:type="dxa"/>
            <w:vMerge w:val="continue"/>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eastAsia="宋体" w:cs="Times New Roman"/>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sz w:val="21"/>
                <w:szCs w:val="21"/>
              </w:rPr>
            </w:pPr>
          </w:p>
        </w:tc>
        <w:tc>
          <w:tcPr>
            <w:tcW w:w="993"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sz w:val="21"/>
                <w:szCs w:val="21"/>
              </w:rPr>
            </w:pPr>
          </w:p>
        </w:tc>
        <w:tc>
          <w:tcPr>
            <w:tcW w:w="3495"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sz w:val="21"/>
                <w:szCs w:val="21"/>
              </w:rPr>
            </w:pPr>
          </w:p>
        </w:tc>
        <w:tc>
          <w:tcPr>
            <w:tcW w:w="169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真空箱</w:t>
            </w:r>
          </w:p>
        </w:tc>
        <w:tc>
          <w:tcPr>
            <w:tcW w:w="109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84"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993"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ascii="Times New Roman" w:hAnsi="Times New Roman" w:eastAsia="Times New Roman" w:cs="Times New Roman"/>
                <w:sz w:val="21"/>
                <w:szCs w:val="21"/>
                <w:lang w:val="en-US" w:eastAsia="zh-CN"/>
              </w:rPr>
            </w:pPr>
            <w:r>
              <w:rPr>
                <w:rFonts w:ascii="Times New Roman" w:hAnsi="Times New Roman" w:eastAsia="Times New Roman" w:cs="Times New Roman"/>
                <w:sz w:val="21"/>
                <w:szCs w:val="21"/>
              </w:rPr>
              <w:t>氟化物</w:t>
            </w:r>
          </w:p>
        </w:tc>
        <w:tc>
          <w:tcPr>
            <w:tcW w:w="3495" w:type="dxa"/>
            <w:tcBorders>
              <w:tl2br w:val="nil"/>
              <w:tr2bl w:val="nil"/>
            </w:tcBorders>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Times New Roman" w:cs="Times New Roman"/>
                <w:sz w:val="21"/>
                <w:szCs w:val="21"/>
                <w:lang w:val="en-US" w:eastAsia="zh-CN"/>
              </w:rPr>
            </w:pPr>
            <w:r>
              <w:rPr>
                <w:rFonts w:ascii="Times New Roman" w:hAnsi="Times New Roman" w:eastAsia="Times New Roman" w:cs="Times New Roman"/>
                <w:sz w:val="21"/>
                <w:szCs w:val="21"/>
              </w:rPr>
              <w:t>大气固定污染源氟化物的测定离子选择性 电极法</w:t>
            </w:r>
            <w:r>
              <w:rPr>
                <w:rFonts w:ascii="Times New Roman" w:hAnsi="Times New Roman" w:eastAsia="Times New Roman" w:cs="Times New Roman"/>
                <w:sz w:val="21"/>
                <w:szCs w:val="21"/>
                <w:lang w:val="en-US" w:eastAsia="en-US"/>
              </w:rPr>
              <w:t>HJ/T 67-2001</w:t>
            </w:r>
          </w:p>
        </w:tc>
        <w:tc>
          <w:tcPr>
            <w:tcW w:w="16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ascii="Times New Roman" w:hAnsi="Times New Roman" w:eastAsia="Times New Roman" w:cs="Times New Roman"/>
                <w:sz w:val="21"/>
                <w:szCs w:val="21"/>
                <w:lang w:val="en-US" w:eastAsia="zh-CN"/>
              </w:rPr>
            </w:pPr>
            <w:r>
              <w:rPr>
                <w:rFonts w:ascii="Times New Roman" w:hAnsi="Times New Roman" w:eastAsia="Times New Roman" w:cs="Times New Roman"/>
                <w:sz w:val="21"/>
                <w:szCs w:val="21"/>
                <w:lang w:val="en-US" w:eastAsia="en-US"/>
              </w:rPr>
              <w:t>HJ/T 67-2001</w:t>
            </w:r>
          </w:p>
        </w:tc>
        <w:tc>
          <w:tcPr>
            <w:tcW w:w="10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ascii="Times New Roman" w:hAnsi="Times New Roman" w:eastAsia="Times New Roman" w:cs="Times New Roman"/>
                <w:sz w:val="21"/>
                <w:szCs w:val="21"/>
                <w:lang w:val="en-US" w:eastAsia="zh-CN"/>
              </w:rPr>
            </w:pPr>
            <w:r>
              <w:rPr>
                <w:rFonts w:ascii="Times New Roman" w:hAnsi="Times New Roman" w:eastAsia="Times New Roman" w:cs="Times New Roman"/>
                <w:sz w:val="21"/>
                <w:szCs w:val="21"/>
              </w:rPr>
              <w:t>实验室</w:t>
            </w:r>
            <w:r>
              <w:rPr>
                <w:rFonts w:ascii="Times New Roman" w:hAnsi="Times New Roman" w:eastAsia="Times New Roman" w:cs="Times New Roman"/>
                <w:sz w:val="21"/>
                <w:szCs w:val="21"/>
                <w:lang w:val="en-US" w:eastAsia="en-US"/>
              </w:rPr>
              <w:t>pH</w:t>
            </w:r>
            <w:r>
              <w:rPr>
                <w:rFonts w:ascii="Times New Roman" w:hAnsi="Times New Roman" w:eastAsia="Times New Roman" w:cs="Times New Roman"/>
                <w:sz w:val="21"/>
                <w:szCs w:val="21"/>
              </w:rPr>
              <w:t>计</w:t>
            </w:r>
          </w:p>
        </w:tc>
        <w:tc>
          <w:tcPr>
            <w:tcW w:w="1084"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ascii="Times New Roman" w:hAnsi="Times New Roman" w:eastAsia="Times New Roman" w:cs="Times New Roman"/>
                <w:sz w:val="21"/>
                <w:szCs w:val="21"/>
              </w:rPr>
            </w:pPr>
          </w:p>
          <w:p>
            <w:pPr>
              <w:pStyle w:val="132"/>
              <w:keepNext w:val="0"/>
              <w:keepLines w:val="0"/>
              <w:pageBreakBefore w:val="0"/>
              <w:kinsoku/>
              <w:wordWrap/>
              <w:overflowPunct/>
              <w:topLinePunct w:val="0"/>
              <w:autoSpaceDE w:val="0"/>
              <w:autoSpaceDN w:val="0"/>
              <w:bidi w:val="0"/>
              <w:adjustRightInd/>
              <w:snapToGrid/>
              <w:spacing w:line="240" w:lineRule="atLeast"/>
              <w:ind w:left="0" w:leftChars="0" w:firstLine="0" w:firstLineChars="0"/>
              <w:textAlignment w:val="auto"/>
              <w:rPr>
                <w:rFonts w:hint="eastAsia" w:ascii="Times New Roman" w:hAnsi="Times New Roman" w:eastAsia="Times New Roman"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0.06</w:t>
            </w:r>
            <w:r>
              <w:rPr>
                <w:rFonts w:hint="default" w:ascii="Times New Roman" w:hAnsi="Times New Roman" w:eastAsia="宋体" w:cs="Times New Roman"/>
                <w:color w:val="000000" w:themeColor="text1"/>
                <w:sz w:val="21"/>
                <w:szCs w:val="21"/>
                <w:lang w:val="en-US"/>
                <w14:textFill>
                  <w14:solidFill>
                    <w14:schemeClr w14:val="tx1"/>
                  </w14:solidFill>
                </w14:textFill>
              </w:rPr>
              <w:t>mg/</w:t>
            </w:r>
            <w:r>
              <w:rPr>
                <w:rFonts w:hint="default" w:ascii="Times New Roman" w:hAnsi="Times New Roman" w:eastAsia="宋体" w:cs="Times New Roman"/>
                <w:bCs/>
                <w:color w:val="000000"/>
                <w:sz w:val="21"/>
                <w:szCs w:val="21"/>
                <w:lang w:val="en-US"/>
              </w:rPr>
              <w:t>m</w:t>
            </w:r>
            <w:r>
              <w:rPr>
                <w:rFonts w:hint="default" w:ascii="Times New Roman" w:hAnsi="Times New Roman" w:eastAsia="宋体" w:cs="Times New Roman"/>
                <w:bCs/>
                <w:color w:val="000000"/>
                <w:sz w:val="21"/>
                <w:szCs w:val="21"/>
                <w:vertAlign w:val="superscript"/>
                <w:lang w:val="en-US"/>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993" w:type="dxa"/>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firstLine="0" w:firstLineChars="0"/>
              <w:jc w:val="center"/>
              <w:textAlignment w:val="auto"/>
              <w:rPr>
                <w:rFonts w:hint="default" w:ascii="Times New Roman" w:hAnsi="Times New Roman" w:eastAsia="宋体" w:cs="Times New Roman"/>
                <w:color w:val="000000" w:themeColor="text1"/>
                <w:sz w:val="21"/>
                <w:szCs w:val="21"/>
                <w:lang w:val="en-US" w:eastAsia="zh-CN" w:bidi="zh-CN"/>
                <w14:textFill>
                  <w14:solidFill>
                    <w14:schemeClr w14:val="tx1"/>
                  </w14:solidFill>
                </w14:textFill>
              </w:rPr>
            </w:pPr>
            <w:r>
              <w:rPr>
                <w:rFonts w:hint="default" w:ascii="Times New Roman" w:hAnsi="Times New Roman" w:cs="Times New Roman"/>
                <w:color w:val="000000" w:themeColor="text1"/>
                <w:sz w:val="21"/>
                <w:szCs w:val="21"/>
                <w:lang w:val="en-US"/>
                <w14:textFill>
                  <w14:solidFill>
                    <w14:schemeClr w14:val="tx1"/>
                  </w14:solidFill>
                </w14:textFill>
              </w:rPr>
              <w:t>颗粒物</w:t>
            </w:r>
          </w:p>
        </w:tc>
        <w:tc>
          <w:tcPr>
            <w:tcW w:w="349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cs="Times New Roman"/>
                <w:bCs/>
                <w:color w:val="000000"/>
                <w:sz w:val="21"/>
                <w:szCs w:val="21"/>
                <w:lang w:val="en-US"/>
              </w:rPr>
              <w:t>固定污染源废气 低浓度颗粒物的测定 重量法 HJ 836-2017</w:t>
            </w:r>
          </w:p>
        </w:tc>
        <w:tc>
          <w:tcPr>
            <w:tcW w:w="16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firstLine="0" w:firstLineChars="0"/>
              <w:textAlignment w:val="auto"/>
              <w:rPr>
                <w:rFonts w:hint="eastAsia"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rPr>
              <w:t>十万分之一电子天平 ME155DU</w:t>
            </w:r>
          </w:p>
        </w:tc>
        <w:tc>
          <w:tcPr>
            <w:tcW w:w="1095"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firstLine="0" w:firstLineChars="0"/>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rPr>
              <w:t>ZQ001-005</w:t>
            </w:r>
          </w:p>
        </w:tc>
        <w:tc>
          <w:tcPr>
            <w:tcW w:w="1084"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firstLine="0" w:firstLineChars="0"/>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color w:val="000000" w:themeColor="text1"/>
                <w:sz w:val="21"/>
                <w:szCs w:val="21"/>
                <w:lang w:val="en-US"/>
                <w14:textFill>
                  <w14:solidFill>
                    <w14:schemeClr w14:val="tx1"/>
                  </w14:solidFill>
                </w14:textFill>
              </w:rPr>
              <w:t>1.0mg/</w:t>
            </w:r>
            <w:r>
              <w:rPr>
                <w:rFonts w:hint="default" w:ascii="Times New Roman" w:hAnsi="Times New Roman" w:eastAsia="宋体" w:cs="Times New Roman"/>
                <w:bCs/>
                <w:color w:val="000000"/>
                <w:sz w:val="21"/>
                <w:szCs w:val="21"/>
                <w:lang w:val="en-US"/>
              </w:rPr>
              <w:t>m</w:t>
            </w:r>
            <w:r>
              <w:rPr>
                <w:rFonts w:hint="default" w:ascii="Times New Roman" w:hAnsi="Times New Roman" w:eastAsia="宋体" w:cs="Times New Roman"/>
                <w:bCs/>
                <w:color w:val="000000"/>
                <w:sz w:val="21"/>
                <w:szCs w:val="21"/>
                <w:vertAlign w:val="superscript"/>
                <w:lang w:val="en-US"/>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textAlignment w:val="auto"/>
              <w:rPr>
                <w:rFonts w:hint="default" w:ascii="Times New Roman" w:hAnsi="Times New Roman" w:cs="Times New Roman"/>
                <w:sz w:val="21"/>
                <w:szCs w:val="21"/>
                <w:lang w:val="en-US" w:eastAsia="zh-CN"/>
              </w:rPr>
            </w:pPr>
          </w:p>
        </w:tc>
        <w:tc>
          <w:tcPr>
            <w:tcW w:w="993"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w:t>
            </w:r>
          </w:p>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3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固定污染源废气 总烃、甲烷和非甲烷总烃的测定 气相色谱法 HJ 38-2017</w:t>
            </w:r>
          </w:p>
        </w:tc>
        <w:tc>
          <w:tcPr>
            <w:tcW w:w="16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气相色谱仪</w:t>
            </w:r>
          </w:p>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GC5890N</w:t>
            </w:r>
          </w:p>
        </w:tc>
        <w:tc>
          <w:tcPr>
            <w:tcW w:w="10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ZQ001-002</w:t>
            </w:r>
          </w:p>
        </w:tc>
        <w:tc>
          <w:tcPr>
            <w:tcW w:w="1084" w:type="dxa"/>
            <w:tcBorders>
              <w:tl2br w:val="nil"/>
              <w:tr2bl w:val="nil"/>
            </w:tcBorders>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Cs/>
                <w:color w:val="000000"/>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0.07</w:t>
            </w:r>
            <w:r>
              <w:rPr>
                <w:rFonts w:hint="default" w:ascii="Times New Roman" w:hAnsi="Times New Roman" w:eastAsia="宋体" w:cs="Times New Roman"/>
                <w:sz w:val="21"/>
                <w:szCs w:val="21"/>
                <w:highlight w:val="none"/>
                <w:lang w:val="en-US"/>
              </w:rPr>
              <w:t>mg/m</w:t>
            </w:r>
            <w:r>
              <w:rPr>
                <w:rFonts w:hint="default" w:ascii="Times New Roman" w:hAnsi="Times New Roman" w:eastAsia="宋体" w:cs="Times New Roman"/>
                <w:sz w:val="21"/>
                <w:szCs w:val="21"/>
                <w:highlight w:val="none"/>
                <w:vertAlign w:val="superscript"/>
                <w:lang w:val="en-US"/>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restart"/>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噪声</w:t>
            </w:r>
          </w:p>
        </w:tc>
        <w:tc>
          <w:tcPr>
            <w:tcW w:w="993" w:type="dxa"/>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rPr>
              <w:t>工业企业厂界环境噪声</w:t>
            </w:r>
          </w:p>
        </w:tc>
        <w:tc>
          <w:tcPr>
            <w:tcW w:w="3495"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bCs/>
                <w:color w:val="000000"/>
                <w:sz w:val="21"/>
                <w:szCs w:val="21"/>
                <w:lang w:val="en-US"/>
              </w:rPr>
            </w:pPr>
            <w:r>
              <w:rPr>
                <w:rFonts w:hint="default" w:ascii="Times New Roman" w:hAnsi="Times New Roman" w:cs="Times New Roman"/>
                <w:bCs/>
                <w:color w:val="000000"/>
                <w:sz w:val="21"/>
                <w:szCs w:val="21"/>
                <w:lang w:val="en-US"/>
              </w:rPr>
              <w:t>工业企业厂界环境噪声排放</w:t>
            </w:r>
          </w:p>
          <w:p>
            <w:pPr>
              <w:pStyle w:val="132"/>
              <w:keepNext w:val="0"/>
              <w:keepLines w:val="0"/>
              <w:pageBreakBefore w:val="0"/>
              <w:kinsoku/>
              <w:wordWrap/>
              <w:overflowPunct/>
              <w:topLinePunct w:val="0"/>
              <w:autoSpaceDE w:val="0"/>
              <w:autoSpaceDN w:val="0"/>
              <w:bidi w:val="0"/>
              <w:adjustRightInd/>
              <w:snapToGrid/>
              <w:spacing w:line="240" w:lineRule="atLeast"/>
              <w:ind w:firstLine="0" w:firstLineChars="0"/>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bCs/>
                <w:color w:val="000000"/>
                <w:sz w:val="21"/>
                <w:szCs w:val="21"/>
                <w:lang w:val="en-US"/>
              </w:rPr>
              <w:t>标准</w:t>
            </w:r>
            <w:r>
              <w:rPr>
                <w:rFonts w:hint="default" w:ascii="Times New Roman" w:hAnsi="Times New Roman" w:cs="Times New Roman"/>
                <w:bCs/>
                <w:color w:val="000000"/>
                <w:sz w:val="21"/>
                <w:szCs w:val="21"/>
                <w:lang w:val="en-US"/>
              </w:rPr>
              <w:t xml:space="preserve"> GB 12348-2008</w:t>
            </w:r>
          </w:p>
        </w:tc>
        <w:tc>
          <w:tcPr>
            <w:tcW w:w="1695"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tLeast"/>
              <w:ind w:left="0" w:leftChars="0" w:firstLine="0" w:firstLineChars="0"/>
              <w:jc w:val="center"/>
              <w:textAlignment w:val="auto"/>
              <w:rPr>
                <w:rFonts w:hint="default" w:ascii="Times New Roman" w:hAnsi="Times New Roman" w:eastAsia="宋体" w:cs="Times New Roman"/>
                <w:bCs/>
                <w:color w:val="000000"/>
                <w:sz w:val="21"/>
                <w:szCs w:val="21"/>
                <w:highlight w:val="none"/>
                <w:lang w:val="en-US" w:eastAsia="zh-CN" w:bidi="zh-CN"/>
              </w:rPr>
            </w:pPr>
            <w:r>
              <w:rPr>
                <w:rFonts w:hint="default" w:ascii="Times New Roman" w:hAnsi="Times New Roman" w:eastAsia="宋体" w:cs="Times New Roman"/>
                <w:bCs/>
                <w:color w:val="000000"/>
                <w:sz w:val="21"/>
                <w:szCs w:val="21"/>
                <w:highlight w:val="none"/>
                <w:lang w:val="en-US"/>
              </w:rPr>
              <w:t>多功能声级 AWA</w:t>
            </w:r>
            <w:r>
              <w:rPr>
                <w:rFonts w:hint="default" w:ascii="Times New Roman" w:hAnsi="Times New Roman" w:cs="Times New Roman"/>
                <w:bCs/>
                <w:color w:val="000000"/>
                <w:sz w:val="21"/>
                <w:szCs w:val="21"/>
                <w:highlight w:val="none"/>
                <w:lang w:val="en-US" w:eastAsia="zh-CN"/>
              </w:rPr>
              <w:t>5688</w:t>
            </w:r>
          </w:p>
        </w:tc>
        <w:tc>
          <w:tcPr>
            <w:tcW w:w="1095" w:type="dxa"/>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tLeast"/>
              <w:ind w:left="0" w:leftChars="0" w:firstLine="0" w:firstLineChars="0"/>
              <w:jc w:val="center"/>
              <w:textAlignment w:val="auto"/>
              <w:rPr>
                <w:rFonts w:hint="default" w:ascii="Times New Roman" w:hAnsi="Times New Roman" w:eastAsia="宋体" w:cs="Times New Roman"/>
                <w:bCs/>
                <w:color w:val="000000"/>
                <w:sz w:val="21"/>
                <w:szCs w:val="21"/>
                <w:highlight w:val="none"/>
                <w:lang w:val="en-US" w:eastAsia="zh-CN" w:bidi="zh-CN"/>
              </w:rPr>
            </w:pPr>
            <w:r>
              <w:rPr>
                <w:rFonts w:hint="default" w:ascii="Times New Roman" w:hAnsi="Times New Roman" w:eastAsia="宋体" w:cs="Times New Roman"/>
                <w:bCs/>
                <w:color w:val="000000"/>
                <w:sz w:val="21"/>
                <w:szCs w:val="21"/>
                <w:highlight w:val="none"/>
                <w:lang w:val="en-US" w:eastAsia="zh-CN"/>
              </w:rPr>
              <w:t>ZQ003-</w:t>
            </w:r>
            <w:r>
              <w:rPr>
                <w:rFonts w:hint="eastAsia" w:ascii="Times New Roman" w:hAnsi="Times New Roman" w:cs="Times New Roman"/>
                <w:bCs/>
                <w:color w:val="000000"/>
                <w:sz w:val="21"/>
                <w:szCs w:val="21"/>
                <w:highlight w:val="none"/>
                <w:lang w:val="en-US" w:eastAsia="zh-CN"/>
              </w:rPr>
              <w:t>022</w:t>
            </w:r>
          </w:p>
        </w:tc>
        <w:tc>
          <w:tcPr>
            <w:tcW w:w="1084" w:type="dxa"/>
            <w:vMerge w:val="restart"/>
            <w:tcBorders>
              <w:tl2br w:val="nil"/>
              <w:tr2bl w:val="nil"/>
            </w:tcBorders>
            <w:vAlign w:val="center"/>
          </w:tcPr>
          <w:p>
            <w:pPr>
              <w:pStyle w:val="132"/>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bCs/>
                <w:color w:val="000000"/>
                <w:sz w:val="21"/>
                <w:szCs w:val="21"/>
                <w:highlight w:val="none"/>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992" w:type="dxa"/>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spacing w:after="0" w:line="240" w:lineRule="atLeast"/>
              <w:ind w:leftChars="0" w:firstLine="0" w:firstLineChars="0"/>
              <w:jc w:val="center"/>
              <w:textAlignment w:val="auto"/>
              <w:rPr>
                <w:rFonts w:hint="default" w:ascii="Times New Roman" w:hAnsi="Times New Roman" w:cs="Times New Roman"/>
                <w:b/>
                <w:bCs/>
                <w:color w:val="000000" w:themeColor="text1"/>
                <w:sz w:val="21"/>
                <w:szCs w:val="21"/>
                <w:lang w:val="en-US"/>
                <w14:textFill>
                  <w14:solidFill>
                    <w14:schemeClr w14:val="tx1"/>
                  </w14:solidFill>
                </w14:textFill>
              </w:rPr>
            </w:pPr>
          </w:p>
        </w:tc>
        <w:tc>
          <w:tcPr>
            <w:tcW w:w="99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contextualSpacing/>
              <w:jc w:val="center"/>
              <w:textAlignment w:val="auto"/>
              <w:rPr>
                <w:rFonts w:hint="default" w:ascii="Times New Roman" w:hAnsi="Times New Roman" w:cs="Times New Roman"/>
                <w:bCs/>
                <w:color w:val="000000"/>
                <w:sz w:val="21"/>
                <w:szCs w:val="21"/>
                <w:lang w:val="en-US" w:eastAsia="zh-CN"/>
              </w:rPr>
            </w:pPr>
          </w:p>
        </w:tc>
        <w:tc>
          <w:tcPr>
            <w:tcW w:w="349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bCs/>
                <w:color w:val="000000"/>
                <w:sz w:val="21"/>
                <w:szCs w:val="21"/>
                <w:lang w:val="en-US" w:eastAsia="zh-CN" w:bidi="zh-CN"/>
              </w:rPr>
            </w:pPr>
            <w:r>
              <w:rPr>
                <w:rFonts w:hint="default" w:ascii="Times New Roman" w:hAnsi="Times New Roman" w:cs="Times New Roman"/>
                <w:color w:val="000000"/>
                <w:sz w:val="21"/>
                <w:szCs w:val="21"/>
                <w:lang w:val="en-US" w:eastAsia="zh-CN"/>
              </w:rPr>
              <w:t>环境噪声监测技术规范 噪声测量值修正 HJ 706-2014</w:t>
            </w:r>
          </w:p>
        </w:tc>
        <w:tc>
          <w:tcPr>
            <w:tcW w:w="1695" w:type="dxa"/>
            <w:vMerge w:val="continue"/>
            <w:tcBorders>
              <w:tl2br w:val="nil"/>
              <w:tr2bl w:val="nil"/>
            </w:tcBorders>
            <w:vAlign w:val="center"/>
          </w:tcPr>
          <w:p>
            <w:pPr>
              <w:pStyle w:val="132"/>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bCs/>
                <w:color w:val="000000"/>
                <w:sz w:val="21"/>
                <w:szCs w:val="21"/>
                <w:highlight w:val="none"/>
                <w:lang w:val="en-US" w:eastAsia="zh-CN" w:bidi="zh-CN"/>
              </w:rPr>
            </w:pPr>
          </w:p>
        </w:tc>
        <w:tc>
          <w:tcPr>
            <w:tcW w:w="1095" w:type="dxa"/>
            <w:vMerge w:val="continue"/>
            <w:tcBorders>
              <w:tl2br w:val="nil"/>
              <w:tr2bl w:val="nil"/>
            </w:tcBorders>
            <w:vAlign w:val="center"/>
          </w:tcPr>
          <w:p>
            <w:pPr>
              <w:pStyle w:val="132"/>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sz w:val="21"/>
                <w:szCs w:val="21"/>
                <w:highlight w:val="none"/>
                <w:lang w:val="en-US" w:eastAsia="zh-CN" w:bidi="zh-CN"/>
              </w:rPr>
            </w:pPr>
          </w:p>
        </w:tc>
        <w:tc>
          <w:tcPr>
            <w:tcW w:w="1084" w:type="dxa"/>
            <w:vMerge w:val="continue"/>
            <w:tcBorders>
              <w:tl2br w:val="nil"/>
              <w:tr2bl w:val="nil"/>
            </w:tcBorders>
            <w:vAlign w:val="center"/>
          </w:tcPr>
          <w:p>
            <w:pPr>
              <w:pStyle w:val="132"/>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textAlignment w:val="auto"/>
              <w:rPr>
                <w:rFonts w:hint="default" w:ascii="Times New Roman" w:hAnsi="Times New Roman" w:eastAsia="宋体" w:cs="Times New Roman"/>
                <w:bCs/>
                <w:color w:val="000000"/>
                <w:sz w:val="21"/>
                <w:szCs w:val="21"/>
                <w:highlight w:val="none"/>
                <w:lang w:val="en-US" w:eastAsia="zh-CN" w:bidi="zh-CN"/>
              </w:rPr>
            </w:pPr>
          </w:p>
        </w:tc>
      </w:tr>
    </w:tbl>
    <w:p>
      <w:pPr>
        <w:spacing w:line="360" w:lineRule="auto"/>
        <w:ind w:firstLine="480" w:firstLineChars="200"/>
        <w:jc w:val="center"/>
        <w:rPr>
          <w:bCs/>
          <w:sz w:val="24"/>
        </w:rPr>
      </w:pPr>
    </w:p>
    <w:p>
      <w:pPr>
        <w:tabs>
          <w:tab w:val="left" w:pos="4800"/>
        </w:tabs>
        <w:rPr>
          <w:rFonts w:hAnsi="宋体" w:cs="宋体"/>
          <w:szCs w:val="22"/>
        </w:rPr>
        <w:sectPr>
          <w:headerReference r:id="rId5" w:type="default"/>
          <w:type w:val="continuous"/>
          <w:pgSz w:w="11906" w:h="16838"/>
          <w:pgMar w:top="1089" w:right="1826" w:bottom="1440" w:left="1588" w:header="720" w:footer="720" w:gutter="0"/>
          <w:cols w:space="720" w:num="1"/>
        </w:sectPr>
      </w:pPr>
    </w:p>
    <w:p>
      <w:pPr>
        <w:pStyle w:val="4"/>
        <w:spacing w:before="120" w:after="120"/>
        <w:jc w:val="center"/>
        <w:rPr>
          <w:rFonts w:eastAsia="宋体"/>
        </w:rPr>
      </w:pPr>
      <w:bookmarkStart w:id="77" w:name="7_监测结果与分析评价"/>
      <w:bookmarkEnd w:id="77"/>
      <w:bookmarkStart w:id="78" w:name="_bookmark28"/>
      <w:bookmarkEnd w:id="78"/>
      <w:bookmarkStart w:id="79" w:name="_Toc50707427"/>
      <w:r>
        <w:rPr>
          <w:rFonts w:hint="eastAsia" w:eastAsia="宋体"/>
        </w:rPr>
        <w:t>7</w:t>
      </w:r>
      <w:r>
        <w:rPr>
          <w:rFonts w:eastAsia="宋体"/>
        </w:rPr>
        <w:t>监测结果与分析评价</w:t>
      </w:r>
      <w:bookmarkEnd w:id="79"/>
    </w:p>
    <w:p>
      <w:pPr>
        <w:pStyle w:val="5"/>
        <w:spacing w:before="120" w:after="120"/>
        <w:rPr>
          <w:rFonts w:ascii="Times New Roman" w:hAnsi="Times New Roman" w:eastAsia="宋体"/>
          <w:b/>
          <w:szCs w:val="30"/>
        </w:rPr>
      </w:pPr>
      <w:bookmarkStart w:id="80" w:name="_bookmark29"/>
      <w:bookmarkEnd w:id="80"/>
      <w:bookmarkStart w:id="81" w:name="7.1_监测期间工况分析"/>
      <w:bookmarkEnd w:id="81"/>
      <w:bookmarkStart w:id="82" w:name="_Toc50707428"/>
      <w:r>
        <w:rPr>
          <w:rFonts w:hint="eastAsia" w:ascii="Times New Roman" w:hAnsi="Times New Roman" w:eastAsia="宋体"/>
          <w:b/>
          <w:szCs w:val="30"/>
        </w:rPr>
        <w:t>7</w:t>
      </w:r>
      <w:r>
        <w:rPr>
          <w:rFonts w:ascii="Times New Roman" w:hAnsi="Times New Roman" w:eastAsia="宋体"/>
          <w:b/>
          <w:szCs w:val="30"/>
        </w:rPr>
        <w:t>.1 监测期间工况分析</w:t>
      </w:r>
      <w:bookmarkEnd w:id="82"/>
    </w:p>
    <w:p>
      <w:pPr>
        <w:snapToGrid w:val="0"/>
        <w:spacing w:line="360" w:lineRule="auto"/>
        <w:ind w:firstLine="480" w:firstLineChars="200"/>
        <w:rPr>
          <w:sz w:val="24"/>
        </w:rPr>
      </w:pPr>
      <w:r>
        <w:rPr>
          <w:sz w:val="24"/>
        </w:rPr>
        <w:t>根据对监测期间工况进行分析，验收监测期间项目现场监测工况为81%。生产工况满足“验收监测应在工况稳定、生产达到设计生产能力负荷的75%以上的情况下进行”的验收监测技术规定。</w:t>
      </w:r>
    </w:p>
    <w:p>
      <w:pPr>
        <w:pStyle w:val="5"/>
        <w:spacing w:before="120" w:after="120"/>
        <w:rPr>
          <w:rFonts w:ascii="Times New Roman" w:hAnsi="Times New Roman" w:eastAsia="宋体"/>
          <w:b/>
          <w:szCs w:val="30"/>
        </w:rPr>
      </w:pPr>
      <w:bookmarkStart w:id="83" w:name="7.2_质量保证和质量控制"/>
      <w:bookmarkEnd w:id="83"/>
      <w:bookmarkStart w:id="84" w:name="_bookmark30"/>
      <w:bookmarkEnd w:id="84"/>
      <w:bookmarkStart w:id="85" w:name="_Toc50707429"/>
      <w:r>
        <w:rPr>
          <w:rFonts w:hint="eastAsia" w:ascii="Times New Roman" w:hAnsi="Times New Roman" w:eastAsia="宋体"/>
          <w:b/>
          <w:szCs w:val="30"/>
        </w:rPr>
        <w:t>7</w:t>
      </w:r>
      <w:r>
        <w:rPr>
          <w:rFonts w:ascii="Times New Roman" w:hAnsi="Times New Roman" w:eastAsia="宋体"/>
          <w:b/>
          <w:szCs w:val="30"/>
        </w:rPr>
        <w:t>.2质量保证和质量控制</w:t>
      </w:r>
      <w:bookmarkEnd w:id="85"/>
    </w:p>
    <w:p>
      <w:pPr>
        <w:snapToGrid w:val="0"/>
        <w:spacing w:line="360" w:lineRule="auto"/>
        <w:ind w:firstLine="480" w:firstLineChars="200"/>
        <w:rPr>
          <w:sz w:val="24"/>
        </w:rPr>
      </w:pPr>
      <w:r>
        <w:rPr>
          <w:sz w:val="24"/>
        </w:rPr>
        <w:t>1、验收监测期间，工况必须满足验收监测的规定要求，否则停止现场采样和测试。</w:t>
      </w:r>
    </w:p>
    <w:p>
      <w:pPr>
        <w:snapToGrid w:val="0"/>
        <w:spacing w:line="360" w:lineRule="auto"/>
        <w:ind w:firstLine="480" w:firstLineChars="200"/>
        <w:rPr>
          <w:sz w:val="24"/>
        </w:rPr>
      </w:pPr>
      <w:r>
        <w:rPr>
          <w:sz w:val="24"/>
        </w:rPr>
        <w:t>2、现场采样和测试应严格按照《验收监测方案》进行，并对监测期间发生的各种异常情况进行详细记录，对未能按《验收监测方案》进行现场采样和测试的原因应予以详细说明。</w:t>
      </w:r>
    </w:p>
    <w:p>
      <w:pPr>
        <w:snapToGrid w:val="0"/>
        <w:spacing w:line="360" w:lineRule="auto"/>
        <w:ind w:firstLine="480" w:firstLineChars="200"/>
        <w:rPr>
          <w:sz w:val="24"/>
        </w:rPr>
      </w:pPr>
      <w:r>
        <w:rPr>
          <w:sz w:val="24"/>
        </w:rPr>
        <w:t>3、监测质量保证按《环境监测技术规范》和《环境空气监测质量保证手册》的要求，进行全过程质量控制。</w:t>
      </w:r>
    </w:p>
    <w:p>
      <w:pPr>
        <w:snapToGrid w:val="0"/>
        <w:spacing w:line="360" w:lineRule="auto"/>
        <w:ind w:firstLine="480" w:firstLineChars="200"/>
        <w:rPr>
          <w:sz w:val="24"/>
        </w:rPr>
      </w:pPr>
      <w:r>
        <w:rPr>
          <w:sz w:val="24"/>
        </w:rPr>
        <w:t>4、环保设施竣工验收监测中使用的布点、采样、分析测试方法，应首先选择目前适用的国家和行业标准分析方法、监测技术规范，其次是国家环保总局推荐的统一分析方法或试行分析方法以及有关规定等。</w:t>
      </w:r>
    </w:p>
    <w:p>
      <w:pPr>
        <w:snapToGrid w:val="0"/>
        <w:spacing w:line="360" w:lineRule="auto"/>
        <w:ind w:firstLine="480" w:firstLineChars="200"/>
        <w:rPr>
          <w:sz w:val="24"/>
        </w:rPr>
      </w:pPr>
      <w:r>
        <w:rPr>
          <w:sz w:val="24"/>
        </w:rPr>
        <w:t>5、环保设施竣工验收的质量保证和质量控制，按《环境监测技术规范》和《环境空气监测质量保证手册》的要求，进行全过程质量控制。</w:t>
      </w:r>
    </w:p>
    <w:p>
      <w:pPr>
        <w:snapToGrid w:val="0"/>
        <w:spacing w:line="360" w:lineRule="auto"/>
        <w:ind w:firstLine="480" w:firstLineChars="200"/>
        <w:rPr>
          <w:sz w:val="24"/>
        </w:rPr>
      </w:pPr>
      <w:r>
        <w:rPr>
          <w:sz w:val="24"/>
        </w:rPr>
        <w:t>6、噪声监测分析使用的噪声计应在测定前后对噪声仪进行校正，测定前后升级≤0.5dB（A）。</w:t>
      </w:r>
    </w:p>
    <w:p>
      <w:pPr>
        <w:snapToGrid w:val="0"/>
        <w:spacing w:line="360" w:lineRule="auto"/>
        <w:ind w:firstLine="480" w:firstLineChars="200"/>
        <w:rPr>
          <w:sz w:val="24"/>
        </w:rPr>
      </w:pPr>
      <w:r>
        <w:rPr>
          <w:sz w:val="24"/>
        </w:rPr>
        <w:t>7、实验室分析质量控制。</w:t>
      </w:r>
    </w:p>
    <w:p>
      <w:pPr>
        <w:snapToGrid w:val="0"/>
        <w:spacing w:line="360" w:lineRule="auto"/>
        <w:ind w:firstLine="480" w:firstLineChars="200"/>
        <w:rPr>
          <w:sz w:val="24"/>
        </w:rPr>
      </w:pPr>
      <w:r>
        <w:rPr>
          <w:sz w:val="24"/>
        </w:rPr>
        <w:t>8、验收监测的采样记录及分析测试结果，按国家标准和监测技术规范有关要求进行数据处理和填报，并按有关规定和要求进行三级审核。</w:t>
      </w:r>
    </w:p>
    <w:p>
      <w:pPr>
        <w:pStyle w:val="5"/>
        <w:spacing w:before="120" w:after="120"/>
        <w:rPr>
          <w:rFonts w:ascii="Times New Roman" w:hAnsi="Times New Roman" w:eastAsia="宋体"/>
          <w:b/>
          <w:szCs w:val="30"/>
        </w:rPr>
      </w:pPr>
      <w:bookmarkStart w:id="86" w:name="_bookmark31"/>
      <w:bookmarkEnd w:id="86"/>
      <w:bookmarkStart w:id="87" w:name="7.3_项目污染源排放监测结果及分析评价"/>
      <w:bookmarkEnd w:id="87"/>
      <w:bookmarkStart w:id="88" w:name="_Toc50707430"/>
      <w:r>
        <w:rPr>
          <w:rFonts w:hint="eastAsia" w:ascii="Times New Roman" w:hAnsi="Times New Roman" w:eastAsia="宋体"/>
          <w:b/>
          <w:szCs w:val="30"/>
        </w:rPr>
        <w:t>7</w:t>
      </w:r>
      <w:r>
        <w:rPr>
          <w:rFonts w:ascii="Times New Roman" w:hAnsi="Times New Roman" w:eastAsia="宋体"/>
          <w:b/>
          <w:szCs w:val="30"/>
        </w:rPr>
        <w:t>.3项目污染源排放监测结果及分析评价</w:t>
      </w:r>
      <w:bookmarkEnd w:id="88"/>
    </w:p>
    <w:p>
      <w:pPr>
        <w:pStyle w:val="6"/>
      </w:pPr>
      <w:bookmarkStart w:id="89" w:name="_Toc50707431"/>
      <w:r>
        <w:rPr>
          <w:rFonts w:hint="eastAsia"/>
        </w:rPr>
        <w:t>7</w:t>
      </w:r>
      <w:r>
        <w:t>.3.1废气监测结果及分析评价</w:t>
      </w:r>
      <w:bookmarkEnd w:id="89"/>
    </w:p>
    <w:p>
      <w:pPr>
        <w:snapToGrid w:val="0"/>
        <w:spacing w:line="360" w:lineRule="auto"/>
        <w:ind w:firstLine="480" w:firstLineChars="200"/>
        <w:rPr>
          <w:sz w:val="24"/>
        </w:rPr>
      </w:pPr>
      <w:r>
        <w:rPr>
          <w:sz w:val="24"/>
        </w:rPr>
        <w:t>监测结果及分析评价见表 7.3-1</w:t>
      </w:r>
      <w:r>
        <w:rPr>
          <w:rFonts w:hint="eastAsia"/>
          <w:sz w:val="24"/>
        </w:rPr>
        <w:t>、</w:t>
      </w:r>
      <w:r>
        <w:rPr>
          <w:sz w:val="24"/>
        </w:rPr>
        <w:t>7.3-2。</w:t>
      </w:r>
    </w:p>
    <w:p>
      <w:pPr>
        <w:spacing w:line="360" w:lineRule="auto"/>
        <w:ind w:firstLine="480" w:firstLineChars="200"/>
        <w:jc w:val="center"/>
        <w:rPr>
          <w:bCs/>
          <w:sz w:val="24"/>
        </w:rPr>
      </w:pPr>
    </w:p>
    <w:p>
      <w:pPr>
        <w:spacing w:line="360" w:lineRule="auto"/>
        <w:ind w:firstLine="480" w:firstLineChars="200"/>
        <w:jc w:val="center"/>
        <w:rPr>
          <w:bCs/>
          <w:sz w:val="24"/>
        </w:rPr>
      </w:pPr>
      <w:r>
        <w:rPr>
          <w:bCs/>
          <w:sz w:val="24"/>
        </w:rPr>
        <w:t>表 7.3-1</w:t>
      </w:r>
      <w:r>
        <w:rPr>
          <w:bCs/>
          <w:sz w:val="24"/>
        </w:rPr>
        <w:tab/>
      </w:r>
      <w:r>
        <w:rPr>
          <w:bCs/>
          <w:sz w:val="24"/>
        </w:rPr>
        <w:t>项目</w:t>
      </w:r>
      <w:r>
        <w:rPr>
          <w:rFonts w:hint="eastAsia"/>
          <w:bCs/>
          <w:sz w:val="24"/>
        </w:rPr>
        <w:t>有</w:t>
      </w:r>
      <w:r>
        <w:rPr>
          <w:bCs/>
          <w:sz w:val="24"/>
        </w:rPr>
        <w:t>组织排放废气监测结果表</w:t>
      </w:r>
      <w:r>
        <w:rPr>
          <w:rFonts w:hint="eastAsia"/>
          <w:bCs/>
          <w:sz w:val="24"/>
        </w:rPr>
        <w:t>1</w:t>
      </w:r>
      <w:r>
        <w:rPr>
          <w:bCs/>
          <w:sz w:val="24"/>
        </w:rPr>
        <w:tab/>
      </w:r>
    </w:p>
    <w:tbl>
      <w:tblPr>
        <w:tblStyle w:val="44"/>
        <w:tblW w:w="93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0"/>
        <w:gridCol w:w="1051"/>
        <w:gridCol w:w="990"/>
        <w:gridCol w:w="990"/>
        <w:gridCol w:w="810"/>
        <w:gridCol w:w="1020"/>
        <w:gridCol w:w="1020"/>
        <w:gridCol w:w="1020"/>
        <w:gridCol w:w="697"/>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restart"/>
            <w:vAlign w:val="center"/>
          </w:tcPr>
          <w:p>
            <w:pPr>
              <w:pStyle w:val="3"/>
              <w:spacing w:after="0"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sz w:val="21"/>
                <w:szCs w:val="21"/>
                <w:lang w:val="en-US" w:eastAsia="zh-CN"/>
              </w:rPr>
              <w:t>点位编号</w:t>
            </w:r>
          </w:p>
        </w:tc>
        <w:tc>
          <w:tcPr>
            <w:tcW w:w="1051" w:type="dxa"/>
            <w:vMerge w:val="restart"/>
            <w:vAlign w:val="center"/>
          </w:tcPr>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检测日期</w:t>
            </w:r>
          </w:p>
        </w:tc>
        <w:tc>
          <w:tcPr>
            <w:tcW w:w="1980" w:type="dxa"/>
            <w:gridSpan w:val="2"/>
            <w:vMerge w:val="restart"/>
            <w:vAlign w:val="center"/>
          </w:tcPr>
          <w:p>
            <w:pPr>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
                <w:bCs/>
                <w:color w:val="auto"/>
                <w:sz w:val="21"/>
                <w:szCs w:val="21"/>
                <w:lang w:val="en-US"/>
              </w:rPr>
              <w:t>检测项目</w:t>
            </w:r>
          </w:p>
        </w:tc>
        <w:tc>
          <w:tcPr>
            <w:tcW w:w="810" w:type="dxa"/>
            <w:vMerge w:val="restart"/>
            <w:vAlign w:val="center"/>
          </w:tcPr>
          <w:p>
            <w:pPr>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
                <w:bCs/>
                <w:color w:val="auto"/>
                <w:sz w:val="21"/>
                <w:szCs w:val="21"/>
                <w:lang w:val="en-US"/>
              </w:rPr>
              <w:t>单位</w:t>
            </w:r>
          </w:p>
        </w:tc>
        <w:tc>
          <w:tcPr>
            <w:tcW w:w="3060" w:type="dxa"/>
            <w:gridSpan w:val="3"/>
            <w:vAlign w:val="center"/>
          </w:tcPr>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检测结果</w:t>
            </w:r>
          </w:p>
        </w:tc>
        <w:tc>
          <w:tcPr>
            <w:tcW w:w="697" w:type="dxa"/>
            <w:vMerge w:val="restart"/>
            <w:vAlign w:val="center"/>
          </w:tcPr>
          <w:p>
            <w:pPr>
              <w:spacing w:line="240" w:lineRule="atLeast"/>
              <w:ind w:firstLine="0" w:firstLineChars="0"/>
              <w:jc w:val="center"/>
              <w:rPr>
                <w:rFonts w:ascii="Times New Roman" w:hAnsi="Times New Roman" w:cs="Times New Roman"/>
                <w:b/>
                <w:bCs/>
                <w:color w:val="auto"/>
                <w:sz w:val="21"/>
                <w:szCs w:val="21"/>
                <w:lang w:val="en-US"/>
              </w:rPr>
            </w:pPr>
            <w:r>
              <w:rPr>
                <w:rFonts w:ascii="Times New Roman" w:hAnsi="Times New Roman" w:cs="Times New Roman"/>
                <w:b/>
                <w:bCs/>
                <w:color w:val="auto"/>
                <w:sz w:val="21"/>
                <w:szCs w:val="21"/>
                <w:lang w:val="en-US"/>
              </w:rPr>
              <w:t>标准</w:t>
            </w:r>
          </w:p>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限值</w:t>
            </w:r>
          </w:p>
        </w:tc>
        <w:tc>
          <w:tcPr>
            <w:tcW w:w="698" w:type="dxa"/>
            <w:vMerge w:val="restart"/>
            <w:vAlign w:val="center"/>
          </w:tcPr>
          <w:p>
            <w:pPr>
              <w:spacing w:line="240" w:lineRule="atLeast"/>
              <w:ind w:firstLine="0" w:firstLineChars="0"/>
              <w:jc w:val="center"/>
              <w:rPr>
                <w:rFonts w:ascii="Times New Roman" w:hAnsi="Times New Roman" w:cs="Times New Roman"/>
                <w:b/>
                <w:bCs/>
                <w:color w:val="auto"/>
                <w:sz w:val="21"/>
                <w:szCs w:val="21"/>
                <w:lang w:val="en-US"/>
              </w:rPr>
            </w:pPr>
            <w:r>
              <w:rPr>
                <w:rFonts w:ascii="Times New Roman" w:hAnsi="Times New Roman" w:cs="Times New Roman"/>
                <w:b/>
                <w:bCs/>
                <w:color w:val="auto"/>
                <w:sz w:val="21"/>
                <w:szCs w:val="21"/>
                <w:lang w:val="en-US"/>
              </w:rPr>
              <w:t>结果</w:t>
            </w:r>
          </w:p>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0" w:type="dxa"/>
            <w:vMerge w:val="continue"/>
            <w:vAlign w:val="center"/>
          </w:tcPr>
          <w:p>
            <w:pPr>
              <w:spacing w:line="240" w:lineRule="atLeast"/>
              <w:ind w:firstLine="0" w:firstLineChars="0"/>
              <w:jc w:val="center"/>
              <w:rPr>
                <w:color w:val="auto"/>
              </w:rPr>
            </w:pPr>
          </w:p>
        </w:tc>
        <w:tc>
          <w:tcPr>
            <w:tcW w:w="1051" w:type="dxa"/>
            <w:vMerge w:val="continue"/>
            <w:vAlign w:val="center"/>
          </w:tcPr>
          <w:p>
            <w:pPr>
              <w:spacing w:line="240" w:lineRule="atLeast"/>
              <w:ind w:firstLine="0" w:firstLineChars="0"/>
              <w:jc w:val="center"/>
              <w:rPr>
                <w:color w:val="auto"/>
              </w:rPr>
            </w:pPr>
          </w:p>
        </w:tc>
        <w:tc>
          <w:tcPr>
            <w:tcW w:w="1980" w:type="dxa"/>
            <w:gridSpan w:val="2"/>
            <w:vMerge w:val="continue"/>
            <w:vAlign w:val="center"/>
          </w:tcPr>
          <w:p>
            <w:pPr>
              <w:spacing w:line="240" w:lineRule="atLeast"/>
              <w:ind w:firstLine="0" w:firstLineChars="0"/>
              <w:jc w:val="center"/>
              <w:rPr>
                <w:color w:val="auto"/>
              </w:rPr>
            </w:pPr>
          </w:p>
        </w:tc>
        <w:tc>
          <w:tcPr>
            <w:tcW w:w="810" w:type="dxa"/>
            <w:vMerge w:val="continue"/>
            <w:vAlign w:val="center"/>
          </w:tcPr>
          <w:p>
            <w:pPr>
              <w:spacing w:line="240" w:lineRule="atLeast"/>
              <w:ind w:firstLine="0" w:firstLineChars="0"/>
              <w:jc w:val="center"/>
              <w:rPr>
                <w:color w:val="auto"/>
              </w:rPr>
            </w:pPr>
          </w:p>
        </w:tc>
        <w:tc>
          <w:tcPr>
            <w:tcW w:w="1020" w:type="dxa"/>
            <w:vAlign w:val="center"/>
          </w:tcPr>
          <w:p>
            <w:pPr>
              <w:spacing w:line="240" w:lineRule="atLeas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1020" w:type="dxa"/>
            <w:vAlign w:val="center"/>
          </w:tcPr>
          <w:p>
            <w:pPr>
              <w:spacing w:line="240" w:lineRule="atLeas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1020" w:type="dxa"/>
            <w:vAlign w:val="center"/>
          </w:tcPr>
          <w:p>
            <w:pPr>
              <w:spacing w:line="240" w:lineRule="atLeas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697" w:type="dxa"/>
            <w:vMerge w:val="continue"/>
            <w:vAlign w:val="center"/>
          </w:tcPr>
          <w:p>
            <w:pPr>
              <w:spacing w:line="240" w:lineRule="atLeast"/>
              <w:ind w:firstLine="0" w:firstLineChars="0"/>
              <w:jc w:val="center"/>
              <w:rPr>
                <w:rFonts w:ascii="Times New Roman" w:hAnsi="Times New Roman" w:cs="Times New Roman"/>
                <w:b/>
                <w:bCs/>
                <w:color w:val="auto"/>
                <w:sz w:val="21"/>
                <w:szCs w:val="21"/>
                <w:lang w:val="en-US"/>
              </w:rPr>
            </w:pPr>
          </w:p>
        </w:tc>
        <w:tc>
          <w:tcPr>
            <w:tcW w:w="698" w:type="dxa"/>
            <w:vMerge w:val="continue"/>
            <w:vAlign w:val="center"/>
          </w:tcPr>
          <w:p>
            <w:pPr>
              <w:spacing w:line="240" w:lineRule="atLeast"/>
              <w:ind w:firstLine="0" w:firstLineChars="0"/>
              <w:jc w:val="center"/>
              <w:rPr>
                <w:rFonts w:ascii="Times New Roman" w:hAnsi="Times New Roman" w:cs="Times New Roman"/>
                <w:b/>
                <w:bCs/>
                <w:color w:val="auto"/>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0" w:type="dxa"/>
            <w:vMerge w:val="restart"/>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w:t>
            </w:r>
            <w:r>
              <w:rPr>
                <w:rFonts w:hint="eastAsia" w:ascii="Times New Roman" w:hAnsi="Times New Roman" w:cs="Times New Roman"/>
                <w:color w:val="auto"/>
                <w:sz w:val="21"/>
                <w:szCs w:val="21"/>
                <w:lang w:val="en-US" w:eastAsia="zh-CN"/>
              </w:rPr>
              <w:t>1</w:t>
            </w:r>
          </w:p>
        </w:tc>
        <w:tc>
          <w:tcPr>
            <w:tcW w:w="1051" w:type="dxa"/>
            <w:vMerge w:val="restart"/>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2022.10.11</w:t>
            </w:r>
          </w:p>
        </w:tc>
        <w:tc>
          <w:tcPr>
            <w:tcW w:w="990" w:type="dxa"/>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ascii="Times New Roman" w:hAnsi="Times New Roman" w:cs="Times New Roman"/>
                <w:color w:val="auto"/>
                <w:sz w:val="21"/>
                <w:szCs w:val="21"/>
                <w:lang w:val="en-US"/>
              </w:rPr>
              <w:t>排气参数</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标干流量</w:t>
            </w:r>
          </w:p>
        </w:tc>
        <w:tc>
          <w:tcPr>
            <w:tcW w:w="81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m³/h</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rPr>
              <w:t>8313</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rPr>
              <w:t>9122</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rPr>
              <w:t>8578</w:t>
            </w:r>
          </w:p>
        </w:tc>
        <w:tc>
          <w:tcPr>
            <w:tcW w:w="697"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c>
          <w:tcPr>
            <w:tcW w:w="698"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氟化物</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mg/m³</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kg/h</w:t>
            </w:r>
          </w:p>
        </w:tc>
        <w:tc>
          <w:tcPr>
            <w:tcW w:w="1020" w:type="dxa"/>
            <w:vAlign w:val="center"/>
          </w:tcPr>
          <w:p>
            <w:pPr>
              <w:pStyle w:val="3"/>
              <w:spacing w:after="0" w:line="240" w:lineRule="atLeast"/>
              <w:ind w:firstLine="0" w:firstLineChars="0"/>
              <w:jc w:val="both"/>
              <w:rPr>
                <w:rFonts w:hint="default"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1051"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990" w:type="dxa"/>
            <w:vMerge w:val="restart"/>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非甲烷</w:t>
            </w:r>
          </w:p>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总烃</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mg/m³</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1.34</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1.30</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1.30</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60</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1051"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990"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kg/h</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0.011</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0.012</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0.011</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3.4</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restart"/>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2022.10.12</w:t>
            </w:r>
          </w:p>
        </w:tc>
        <w:tc>
          <w:tcPr>
            <w:tcW w:w="990" w:type="dxa"/>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ascii="Times New Roman" w:hAnsi="Times New Roman" w:cs="Times New Roman"/>
                <w:color w:val="auto"/>
                <w:sz w:val="21"/>
                <w:szCs w:val="21"/>
                <w:lang w:val="en-US"/>
              </w:rPr>
              <w:t>排气参数</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标干流量</w:t>
            </w:r>
          </w:p>
        </w:tc>
        <w:tc>
          <w:tcPr>
            <w:tcW w:w="81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m³/h</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9373</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8870</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8362</w:t>
            </w:r>
          </w:p>
        </w:tc>
        <w:tc>
          <w:tcPr>
            <w:tcW w:w="697"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c>
          <w:tcPr>
            <w:tcW w:w="698"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氟化物</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mg/m³</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kg/h</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非甲烷</w:t>
            </w:r>
          </w:p>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总烃</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mg/m³</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1.22</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1.25</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1.25</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60</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kg/h</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0.011</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0.011</w:t>
            </w:r>
          </w:p>
        </w:tc>
        <w:tc>
          <w:tcPr>
            <w:tcW w:w="102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0.010</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3.4</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bl>
    <w:p>
      <w:pPr>
        <w:snapToGrid w:val="0"/>
        <w:spacing w:line="360" w:lineRule="auto"/>
        <w:ind w:firstLine="1680" w:firstLineChars="700"/>
        <w:rPr>
          <w:bCs/>
          <w:sz w:val="24"/>
        </w:rPr>
      </w:pPr>
      <w:bookmarkStart w:id="90" w:name="_Hlk36248552"/>
    </w:p>
    <w:p>
      <w:pPr>
        <w:snapToGrid w:val="0"/>
        <w:spacing w:line="360" w:lineRule="auto"/>
        <w:ind w:firstLine="1680" w:firstLineChars="700"/>
        <w:rPr>
          <w:rFonts w:hint="eastAsia" w:eastAsia="宋体"/>
          <w:bCs/>
          <w:sz w:val="24"/>
          <w:lang w:eastAsia="zh-CN"/>
        </w:rPr>
      </w:pPr>
      <w:r>
        <w:rPr>
          <w:bCs/>
          <w:sz w:val="24"/>
        </w:rPr>
        <w:t>表 7.3-</w:t>
      </w:r>
      <w:r>
        <w:rPr>
          <w:rFonts w:hint="eastAsia"/>
          <w:bCs/>
          <w:sz w:val="24"/>
        </w:rPr>
        <w:t>2</w:t>
      </w:r>
      <w:r>
        <w:rPr>
          <w:bCs/>
          <w:sz w:val="24"/>
        </w:rPr>
        <w:tab/>
      </w:r>
      <w:r>
        <w:rPr>
          <w:bCs/>
          <w:sz w:val="24"/>
        </w:rPr>
        <w:t>项目</w:t>
      </w:r>
      <w:r>
        <w:rPr>
          <w:rFonts w:hint="eastAsia"/>
          <w:bCs/>
          <w:sz w:val="24"/>
        </w:rPr>
        <w:t>有</w:t>
      </w:r>
      <w:r>
        <w:rPr>
          <w:bCs/>
          <w:sz w:val="24"/>
        </w:rPr>
        <w:t>组织排放废气监测结果表</w:t>
      </w:r>
      <w:r>
        <w:rPr>
          <w:rFonts w:hint="eastAsia"/>
          <w:bCs/>
          <w:sz w:val="24"/>
          <w:lang w:eastAsia="zh-CN"/>
        </w:rPr>
        <w:t>（续）</w:t>
      </w:r>
    </w:p>
    <w:tbl>
      <w:tblPr>
        <w:tblStyle w:val="44"/>
        <w:tblW w:w="93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0"/>
        <w:gridCol w:w="1051"/>
        <w:gridCol w:w="990"/>
        <w:gridCol w:w="990"/>
        <w:gridCol w:w="810"/>
        <w:gridCol w:w="1020"/>
        <w:gridCol w:w="1020"/>
        <w:gridCol w:w="1020"/>
        <w:gridCol w:w="697"/>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restart"/>
            <w:vAlign w:val="center"/>
          </w:tcPr>
          <w:p>
            <w:pPr>
              <w:pStyle w:val="3"/>
              <w:spacing w:after="0"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sz w:val="21"/>
                <w:szCs w:val="21"/>
                <w:lang w:val="en-US" w:eastAsia="zh-CN"/>
              </w:rPr>
              <w:t>点位编号</w:t>
            </w:r>
          </w:p>
        </w:tc>
        <w:tc>
          <w:tcPr>
            <w:tcW w:w="1051" w:type="dxa"/>
            <w:vMerge w:val="restart"/>
            <w:vAlign w:val="center"/>
          </w:tcPr>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检测日期</w:t>
            </w:r>
          </w:p>
        </w:tc>
        <w:tc>
          <w:tcPr>
            <w:tcW w:w="1980" w:type="dxa"/>
            <w:gridSpan w:val="2"/>
            <w:vMerge w:val="restart"/>
            <w:vAlign w:val="center"/>
          </w:tcPr>
          <w:p>
            <w:pPr>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
                <w:bCs/>
                <w:color w:val="auto"/>
                <w:sz w:val="21"/>
                <w:szCs w:val="21"/>
                <w:lang w:val="en-US"/>
              </w:rPr>
              <w:t>检测项目</w:t>
            </w:r>
          </w:p>
        </w:tc>
        <w:tc>
          <w:tcPr>
            <w:tcW w:w="810" w:type="dxa"/>
            <w:vMerge w:val="restart"/>
            <w:vAlign w:val="center"/>
          </w:tcPr>
          <w:p>
            <w:pPr>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
                <w:bCs/>
                <w:color w:val="auto"/>
                <w:sz w:val="21"/>
                <w:szCs w:val="21"/>
                <w:lang w:val="en-US"/>
              </w:rPr>
              <w:t>单位</w:t>
            </w:r>
          </w:p>
        </w:tc>
        <w:tc>
          <w:tcPr>
            <w:tcW w:w="3060" w:type="dxa"/>
            <w:gridSpan w:val="3"/>
            <w:vAlign w:val="center"/>
          </w:tcPr>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检测结果</w:t>
            </w:r>
          </w:p>
        </w:tc>
        <w:tc>
          <w:tcPr>
            <w:tcW w:w="697" w:type="dxa"/>
            <w:vMerge w:val="restart"/>
            <w:vAlign w:val="center"/>
          </w:tcPr>
          <w:p>
            <w:pPr>
              <w:spacing w:line="240" w:lineRule="atLeast"/>
              <w:ind w:firstLine="0" w:firstLineChars="0"/>
              <w:jc w:val="center"/>
              <w:rPr>
                <w:rFonts w:ascii="Times New Roman" w:hAnsi="Times New Roman" w:cs="Times New Roman"/>
                <w:b/>
                <w:bCs/>
                <w:color w:val="auto"/>
                <w:sz w:val="21"/>
                <w:szCs w:val="21"/>
                <w:lang w:val="en-US"/>
              </w:rPr>
            </w:pPr>
            <w:r>
              <w:rPr>
                <w:rFonts w:ascii="Times New Roman" w:hAnsi="Times New Roman" w:cs="Times New Roman"/>
                <w:b/>
                <w:bCs/>
                <w:color w:val="auto"/>
                <w:sz w:val="21"/>
                <w:szCs w:val="21"/>
                <w:lang w:val="en-US"/>
              </w:rPr>
              <w:t>标准</w:t>
            </w:r>
          </w:p>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限值</w:t>
            </w:r>
          </w:p>
        </w:tc>
        <w:tc>
          <w:tcPr>
            <w:tcW w:w="698" w:type="dxa"/>
            <w:vMerge w:val="restart"/>
            <w:vAlign w:val="center"/>
          </w:tcPr>
          <w:p>
            <w:pPr>
              <w:spacing w:line="240" w:lineRule="atLeast"/>
              <w:ind w:firstLine="0" w:firstLineChars="0"/>
              <w:jc w:val="center"/>
              <w:rPr>
                <w:rFonts w:ascii="Times New Roman" w:hAnsi="Times New Roman" w:cs="Times New Roman"/>
                <w:b/>
                <w:bCs/>
                <w:color w:val="auto"/>
                <w:sz w:val="21"/>
                <w:szCs w:val="21"/>
                <w:lang w:val="en-US"/>
              </w:rPr>
            </w:pPr>
            <w:r>
              <w:rPr>
                <w:rFonts w:ascii="Times New Roman" w:hAnsi="Times New Roman" w:cs="Times New Roman"/>
                <w:b/>
                <w:bCs/>
                <w:color w:val="auto"/>
                <w:sz w:val="21"/>
                <w:szCs w:val="21"/>
                <w:lang w:val="en-US"/>
              </w:rPr>
              <w:t>结果</w:t>
            </w:r>
          </w:p>
          <w:p>
            <w:pPr>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
                <w:bCs/>
                <w:color w:val="auto"/>
                <w:sz w:val="21"/>
                <w:szCs w:val="21"/>
                <w:lang w:val="en-US"/>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0" w:type="dxa"/>
            <w:vMerge w:val="continue"/>
            <w:vAlign w:val="center"/>
          </w:tcPr>
          <w:p>
            <w:pPr>
              <w:spacing w:line="240" w:lineRule="atLeast"/>
              <w:ind w:firstLine="0" w:firstLineChars="0"/>
              <w:jc w:val="center"/>
              <w:rPr>
                <w:color w:val="auto"/>
              </w:rPr>
            </w:pPr>
          </w:p>
        </w:tc>
        <w:tc>
          <w:tcPr>
            <w:tcW w:w="1051" w:type="dxa"/>
            <w:vMerge w:val="continue"/>
            <w:vAlign w:val="center"/>
          </w:tcPr>
          <w:p>
            <w:pPr>
              <w:spacing w:line="240" w:lineRule="atLeast"/>
              <w:ind w:firstLine="0" w:firstLineChars="0"/>
              <w:jc w:val="center"/>
              <w:rPr>
                <w:color w:val="auto"/>
              </w:rPr>
            </w:pPr>
          </w:p>
        </w:tc>
        <w:tc>
          <w:tcPr>
            <w:tcW w:w="1980" w:type="dxa"/>
            <w:gridSpan w:val="2"/>
            <w:vMerge w:val="continue"/>
            <w:vAlign w:val="center"/>
          </w:tcPr>
          <w:p>
            <w:pPr>
              <w:spacing w:line="240" w:lineRule="atLeast"/>
              <w:ind w:firstLine="0" w:firstLineChars="0"/>
              <w:jc w:val="center"/>
              <w:rPr>
                <w:color w:val="auto"/>
              </w:rPr>
            </w:pPr>
          </w:p>
        </w:tc>
        <w:tc>
          <w:tcPr>
            <w:tcW w:w="810" w:type="dxa"/>
            <w:vMerge w:val="continue"/>
            <w:vAlign w:val="center"/>
          </w:tcPr>
          <w:p>
            <w:pPr>
              <w:spacing w:line="240" w:lineRule="atLeast"/>
              <w:ind w:firstLine="0" w:firstLineChars="0"/>
              <w:jc w:val="center"/>
              <w:rPr>
                <w:color w:val="auto"/>
              </w:rPr>
            </w:pPr>
          </w:p>
        </w:tc>
        <w:tc>
          <w:tcPr>
            <w:tcW w:w="1020" w:type="dxa"/>
            <w:vAlign w:val="center"/>
          </w:tcPr>
          <w:p>
            <w:pPr>
              <w:spacing w:line="240" w:lineRule="atLeas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1020" w:type="dxa"/>
            <w:vAlign w:val="center"/>
          </w:tcPr>
          <w:p>
            <w:pPr>
              <w:spacing w:line="240" w:lineRule="atLeas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1020" w:type="dxa"/>
            <w:vAlign w:val="center"/>
          </w:tcPr>
          <w:p>
            <w:pPr>
              <w:spacing w:line="240" w:lineRule="atLeas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697" w:type="dxa"/>
            <w:vMerge w:val="continue"/>
            <w:vAlign w:val="center"/>
          </w:tcPr>
          <w:p>
            <w:pPr>
              <w:spacing w:line="240" w:lineRule="atLeast"/>
              <w:ind w:firstLine="0" w:firstLineChars="0"/>
              <w:jc w:val="center"/>
              <w:rPr>
                <w:rFonts w:ascii="Times New Roman" w:hAnsi="Times New Roman" w:cs="Times New Roman"/>
                <w:b/>
                <w:bCs/>
                <w:color w:val="auto"/>
                <w:sz w:val="21"/>
                <w:szCs w:val="21"/>
                <w:lang w:val="en-US"/>
              </w:rPr>
            </w:pPr>
          </w:p>
        </w:tc>
        <w:tc>
          <w:tcPr>
            <w:tcW w:w="698" w:type="dxa"/>
            <w:vMerge w:val="continue"/>
            <w:vAlign w:val="center"/>
          </w:tcPr>
          <w:p>
            <w:pPr>
              <w:spacing w:line="240" w:lineRule="atLeast"/>
              <w:ind w:firstLine="0" w:firstLineChars="0"/>
              <w:jc w:val="center"/>
              <w:rPr>
                <w:rFonts w:ascii="Times New Roman" w:hAnsi="Times New Roman" w:cs="Times New Roman"/>
                <w:b/>
                <w:bCs/>
                <w:color w:val="auto"/>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0" w:type="dxa"/>
            <w:vMerge w:val="restart"/>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w:t>
            </w:r>
            <w:r>
              <w:rPr>
                <w:rFonts w:hint="eastAsia" w:ascii="Times New Roman" w:hAnsi="Times New Roman" w:cs="Times New Roman"/>
                <w:color w:val="auto"/>
                <w:sz w:val="21"/>
                <w:szCs w:val="21"/>
                <w:lang w:val="en-US" w:eastAsia="zh-CN"/>
              </w:rPr>
              <w:t>2</w:t>
            </w:r>
          </w:p>
        </w:tc>
        <w:tc>
          <w:tcPr>
            <w:tcW w:w="1051" w:type="dxa"/>
            <w:vMerge w:val="restart"/>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2022.10.11</w:t>
            </w:r>
          </w:p>
        </w:tc>
        <w:tc>
          <w:tcPr>
            <w:tcW w:w="990" w:type="dxa"/>
            <w:vAlign w:val="center"/>
          </w:tcPr>
          <w:p>
            <w:pPr>
              <w:pStyle w:val="3"/>
              <w:spacing w:after="0" w:line="240" w:lineRule="atLeast"/>
              <w:ind w:firstLine="0" w:firstLineChars="0"/>
              <w:jc w:val="center"/>
              <w:rPr>
                <w:rFonts w:hint="eastAsia" w:ascii="Times New Roman" w:hAnsi="Times New Roman" w:eastAsia="宋体" w:cs="Times New Roman"/>
                <w:bCs/>
                <w:color w:val="auto"/>
                <w:sz w:val="21"/>
                <w:szCs w:val="21"/>
                <w:lang w:val="en-US" w:eastAsia="zh-CN" w:bidi="zh-CN"/>
              </w:rPr>
            </w:pPr>
            <w:r>
              <w:rPr>
                <w:rFonts w:ascii="Times New Roman" w:hAnsi="Times New Roman" w:cs="Times New Roman"/>
                <w:color w:val="auto"/>
                <w:sz w:val="21"/>
                <w:szCs w:val="21"/>
                <w:lang w:val="en-US"/>
              </w:rPr>
              <w:t>排气参数</w:t>
            </w:r>
          </w:p>
        </w:tc>
        <w:tc>
          <w:tcPr>
            <w:tcW w:w="990" w:type="dxa"/>
            <w:vAlign w:val="center"/>
          </w:tcPr>
          <w:p>
            <w:pPr>
              <w:pStyle w:val="3"/>
              <w:spacing w:after="0"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color w:val="auto"/>
                <w:sz w:val="21"/>
                <w:szCs w:val="21"/>
                <w:lang w:val="en-US"/>
              </w:rPr>
              <w:t>标干流量</w:t>
            </w:r>
          </w:p>
        </w:tc>
        <w:tc>
          <w:tcPr>
            <w:tcW w:w="810" w:type="dxa"/>
            <w:vAlign w:val="center"/>
          </w:tcPr>
          <w:p>
            <w:pPr>
              <w:pStyle w:val="3"/>
              <w:spacing w:after="0"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color w:val="auto"/>
                <w:sz w:val="21"/>
                <w:szCs w:val="21"/>
                <w:lang w:val="en-US"/>
              </w:rPr>
              <w:t>m³/h</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11426</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11298</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11166</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氟化物</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mg/m³</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kg/h</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颗粒物</w:t>
            </w:r>
          </w:p>
        </w:tc>
        <w:tc>
          <w:tcPr>
            <w:tcW w:w="99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排放浓度</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mg/m³</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5.2</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5.1</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5.4</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10</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p>
        </w:tc>
        <w:tc>
          <w:tcPr>
            <w:tcW w:w="99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排放速率</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kg/h</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0.013</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0.013</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0.014</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非甲烷</w:t>
            </w:r>
          </w:p>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总烃</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mg/m³</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4.56</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4.57</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4.58</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60</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kg/h</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0.11</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0.11</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0.11</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3.4</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restart"/>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2022.10.12</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排气参数</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标干流量</w:t>
            </w:r>
          </w:p>
        </w:tc>
        <w:tc>
          <w:tcPr>
            <w:tcW w:w="81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m³/h</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11319</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11326</w:t>
            </w:r>
          </w:p>
        </w:tc>
        <w:tc>
          <w:tcPr>
            <w:tcW w:w="1020" w:type="dxa"/>
            <w:vAlign w:val="center"/>
          </w:tcPr>
          <w:p>
            <w:pPr>
              <w:pStyle w:val="3"/>
              <w:spacing w:after="0" w:line="240" w:lineRule="atLeast"/>
              <w:ind w:firstLine="0" w:firstLineChars="0"/>
              <w:jc w:val="center"/>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11457</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氟化物</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mg/m³</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ascii="Times New Roman" w:hAnsi="Times New Roman" w:cs="Times New Roman"/>
                <w:bCs/>
                <w:color w:val="auto"/>
                <w:sz w:val="21"/>
                <w:szCs w:val="21"/>
                <w:lang w:val="en-US"/>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kg/h</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颗粒物</w:t>
            </w:r>
          </w:p>
        </w:tc>
        <w:tc>
          <w:tcPr>
            <w:tcW w:w="99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排放浓度</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mg/m³</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5.1</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5.7</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5.9</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120</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p>
        </w:tc>
        <w:tc>
          <w:tcPr>
            <w:tcW w:w="99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排放速率</w:t>
            </w:r>
          </w:p>
        </w:tc>
        <w:tc>
          <w:tcPr>
            <w:tcW w:w="810" w:type="dxa"/>
            <w:vAlign w:val="center"/>
          </w:tcPr>
          <w:p>
            <w:pPr>
              <w:widowControl/>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kg/h</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0.013</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0.014</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0.015</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非甲烷</w:t>
            </w:r>
          </w:p>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总烃</w:t>
            </w: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排放浓度</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mg/m³</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4.26</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4.16</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4.24</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60</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p>
        </w:tc>
        <w:tc>
          <w:tcPr>
            <w:tcW w:w="99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排放速率</w:t>
            </w:r>
          </w:p>
        </w:tc>
        <w:tc>
          <w:tcPr>
            <w:tcW w:w="810"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kg/h</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0.11</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0.10</w:t>
            </w:r>
          </w:p>
        </w:tc>
        <w:tc>
          <w:tcPr>
            <w:tcW w:w="1020" w:type="dxa"/>
            <w:vAlign w:val="top"/>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0.10</w:t>
            </w:r>
          </w:p>
        </w:tc>
        <w:tc>
          <w:tcPr>
            <w:tcW w:w="697"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3.4</w:t>
            </w:r>
          </w:p>
        </w:tc>
        <w:tc>
          <w:tcPr>
            <w:tcW w:w="698" w:type="dxa"/>
            <w:vAlign w:val="center"/>
          </w:tcPr>
          <w:p>
            <w:pPr>
              <w:pStyle w:val="132"/>
              <w:keepNext w:val="0"/>
              <w:keepLines w:val="0"/>
              <w:pageBreakBefore w:val="0"/>
              <w:kinsoku/>
              <w:wordWrap/>
              <w:overflowPunct/>
              <w:topLinePunct w:val="0"/>
              <w:autoSpaceDE w:val="0"/>
              <w:autoSpaceDN w:val="0"/>
              <w:bidi w:val="0"/>
              <w:adjustRightInd/>
              <w:snapToGrid/>
              <w:spacing w:line="240" w:lineRule="atLeast"/>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restart"/>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w:t>
            </w:r>
            <w:r>
              <w:rPr>
                <w:rFonts w:hint="eastAsia" w:ascii="Times New Roman" w:hAnsi="Times New Roman" w:cs="Times New Roman"/>
                <w:color w:val="auto"/>
                <w:sz w:val="21"/>
                <w:szCs w:val="21"/>
                <w:lang w:val="en-US" w:eastAsia="zh-CN"/>
              </w:rPr>
              <w:t>2</w:t>
            </w:r>
          </w:p>
        </w:tc>
        <w:tc>
          <w:tcPr>
            <w:tcW w:w="1051" w:type="dxa"/>
            <w:vMerge w:val="restart"/>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2022.10.11</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排气参数</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标干流量</w:t>
            </w:r>
          </w:p>
        </w:tc>
        <w:tc>
          <w:tcPr>
            <w:tcW w:w="81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m³/h</w:t>
            </w:r>
          </w:p>
        </w:tc>
        <w:tc>
          <w:tcPr>
            <w:tcW w:w="1020" w:type="dxa"/>
            <w:vAlign w:val="top"/>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rPr>
              <w:t>4566</w:t>
            </w:r>
          </w:p>
        </w:tc>
        <w:tc>
          <w:tcPr>
            <w:tcW w:w="1020" w:type="dxa"/>
            <w:vAlign w:val="top"/>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rPr>
              <w:t>4492</w:t>
            </w:r>
          </w:p>
        </w:tc>
        <w:tc>
          <w:tcPr>
            <w:tcW w:w="1020" w:type="dxa"/>
            <w:vAlign w:val="top"/>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rPr>
              <w:t>4574</w:t>
            </w:r>
          </w:p>
        </w:tc>
        <w:tc>
          <w:tcPr>
            <w:tcW w:w="697" w:type="dxa"/>
            <w:vAlign w:val="center"/>
          </w:tcPr>
          <w:p>
            <w:pPr>
              <w:pStyle w:val="132"/>
              <w:spacing w:before="58"/>
              <w:ind w:left="0" w:leftChars="0" w:firstLine="0" w:firstLineChars="0"/>
              <w:jc w:val="center"/>
              <w:rPr>
                <w:rFonts w:hint="default" w:ascii="Times New Roman" w:hAnsi="Times New Roman" w:eastAsia="Times New Roman" w:cs="Times New Roman"/>
                <w:color w:val="auto"/>
                <w:sz w:val="21"/>
                <w:lang w:val="en-US" w:eastAsia="zh-CN"/>
              </w:rPr>
            </w:pPr>
            <w:r>
              <w:rPr>
                <w:rFonts w:hint="eastAsia" w:ascii="Times New Roman" w:hAnsi="Times New Roman" w:eastAsia="Times New Roman" w:cs="Times New Roman"/>
                <w:color w:val="auto"/>
                <w:sz w:val="21"/>
                <w:lang w:val="en-US" w:eastAsia="zh-CN"/>
              </w:rPr>
              <w:t>/</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非甲烷</w:t>
            </w:r>
          </w:p>
          <w:p>
            <w:pPr>
              <w:pStyle w:val="3"/>
              <w:spacing w:after="0"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总烃</w:t>
            </w:r>
          </w:p>
        </w:tc>
        <w:tc>
          <w:tcPr>
            <w:tcW w:w="990" w:type="dxa"/>
            <w:vAlign w:val="center"/>
          </w:tcPr>
          <w:p>
            <w:pPr>
              <w:widowControl/>
              <w:spacing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bCs/>
                <w:color w:val="auto"/>
                <w:sz w:val="21"/>
                <w:szCs w:val="21"/>
                <w:lang w:val="en-US"/>
              </w:rPr>
              <w:t>排放浓度</w:t>
            </w:r>
          </w:p>
        </w:tc>
        <w:tc>
          <w:tcPr>
            <w:tcW w:w="810" w:type="dxa"/>
            <w:vAlign w:val="center"/>
          </w:tcPr>
          <w:p>
            <w:pPr>
              <w:widowControl/>
              <w:spacing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bCs/>
                <w:color w:val="auto"/>
                <w:sz w:val="21"/>
                <w:szCs w:val="21"/>
                <w:lang w:val="en-US"/>
              </w:rPr>
              <w:t>mg/m³</w:t>
            </w:r>
          </w:p>
        </w:tc>
        <w:tc>
          <w:tcPr>
            <w:tcW w:w="1020" w:type="dxa"/>
            <w:vAlign w:val="center"/>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2.68</w:t>
            </w:r>
          </w:p>
        </w:tc>
        <w:tc>
          <w:tcPr>
            <w:tcW w:w="1020" w:type="dxa"/>
            <w:vAlign w:val="center"/>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2.70</w:t>
            </w:r>
          </w:p>
        </w:tc>
        <w:tc>
          <w:tcPr>
            <w:tcW w:w="1020" w:type="dxa"/>
            <w:vAlign w:val="center"/>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2.71</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eastAsia="Times New Roman" w:cs="Times New Roman"/>
                <w:color w:val="auto"/>
                <w:sz w:val="21"/>
                <w:lang w:val="en-US" w:eastAsia="zh-CN"/>
              </w:rPr>
            </w:pPr>
            <w:r>
              <w:rPr>
                <w:rFonts w:hint="eastAsia" w:ascii="Times New Roman" w:hAnsi="Times New Roman" w:cs="Times New Roman"/>
                <w:color w:val="auto"/>
                <w:sz w:val="21"/>
                <w:szCs w:val="21"/>
                <w:lang w:val="en-US" w:eastAsia="zh-CN" w:bidi="zh-CN"/>
              </w:rPr>
              <w:t>60</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Merge w:val="continue"/>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p>
        </w:tc>
        <w:tc>
          <w:tcPr>
            <w:tcW w:w="990" w:type="dxa"/>
            <w:vAlign w:val="center"/>
          </w:tcPr>
          <w:p>
            <w:pPr>
              <w:widowControl/>
              <w:spacing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bCs/>
                <w:color w:val="auto"/>
                <w:sz w:val="21"/>
                <w:szCs w:val="21"/>
                <w:lang w:val="en-US"/>
              </w:rPr>
              <w:t>排放速率</w:t>
            </w:r>
          </w:p>
        </w:tc>
        <w:tc>
          <w:tcPr>
            <w:tcW w:w="810" w:type="dxa"/>
            <w:vAlign w:val="center"/>
          </w:tcPr>
          <w:p>
            <w:pPr>
              <w:widowControl/>
              <w:spacing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bCs/>
                <w:color w:val="auto"/>
                <w:sz w:val="21"/>
                <w:szCs w:val="21"/>
                <w:lang w:val="en-US"/>
              </w:rPr>
              <w:t>kg/h</w:t>
            </w:r>
          </w:p>
        </w:tc>
        <w:tc>
          <w:tcPr>
            <w:tcW w:w="1020" w:type="dxa"/>
            <w:vAlign w:val="center"/>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0.030</w:t>
            </w:r>
          </w:p>
        </w:tc>
        <w:tc>
          <w:tcPr>
            <w:tcW w:w="1020" w:type="dxa"/>
            <w:vAlign w:val="center"/>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0.031</w:t>
            </w:r>
          </w:p>
        </w:tc>
        <w:tc>
          <w:tcPr>
            <w:tcW w:w="1020" w:type="dxa"/>
            <w:vAlign w:val="center"/>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0.031</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eastAsia="Times New Roman" w:cs="Times New Roman"/>
                <w:color w:val="auto"/>
                <w:sz w:val="21"/>
                <w:lang w:val="en-US" w:eastAsia="zh-CN"/>
              </w:rPr>
            </w:pPr>
            <w:r>
              <w:rPr>
                <w:rFonts w:hint="eastAsia" w:ascii="Times New Roman" w:hAnsi="Times New Roman" w:cs="Times New Roman"/>
                <w:color w:val="auto"/>
                <w:sz w:val="21"/>
                <w:szCs w:val="21"/>
                <w:lang w:val="en-US" w:eastAsia="zh-CN" w:bidi="zh-CN"/>
              </w:rPr>
              <w:t>3.4</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restart"/>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2022.10.12</w:t>
            </w:r>
          </w:p>
        </w:tc>
        <w:tc>
          <w:tcPr>
            <w:tcW w:w="990" w:type="dxa"/>
            <w:vAlign w:val="center"/>
          </w:tcPr>
          <w:p>
            <w:pPr>
              <w:pStyle w:val="3"/>
              <w:spacing w:after="0"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color w:val="auto"/>
                <w:sz w:val="21"/>
                <w:szCs w:val="21"/>
                <w:lang w:val="en-US"/>
              </w:rPr>
              <w:t>排气参数</w:t>
            </w:r>
          </w:p>
        </w:tc>
        <w:tc>
          <w:tcPr>
            <w:tcW w:w="990" w:type="dxa"/>
            <w:vAlign w:val="center"/>
          </w:tcPr>
          <w:p>
            <w:pPr>
              <w:pStyle w:val="3"/>
              <w:spacing w:after="0"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color w:val="auto"/>
                <w:sz w:val="21"/>
                <w:szCs w:val="21"/>
                <w:lang w:val="en-US"/>
              </w:rPr>
              <w:t>标干流量</w:t>
            </w:r>
          </w:p>
        </w:tc>
        <w:tc>
          <w:tcPr>
            <w:tcW w:w="810" w:type="dxa"/>
            <w:vAlign w:val="center"/>
          </w:tcPr>
          <w:p>
            <w:pPr>
              <w:pStyle w:val="3"/>
              <w:spacing w:after="0" w:line="240" w:lineRule="atLeast"/>
              <w:ind w:firstLine="0" w:firstLineChars="0"/>
              <w:jc w:val="center"/>
              <w:rPr>
                <w:rFonts w:ascii="Times New Roman" w:hAnsi="Times New Roman" w:eastAsia="宋体" w:cs="Times New Roman"/>
                <w:bCs/>
                <w:color w:val="auto"/>
                <w:sz w:val="21"/>
                <w:szCs w:val="21"/>
                <w:lang w:val="en-US" w:eastAsia="zh-CN" w:bidi="zh-CN"/>
              </w:rPr>
            </w:pPr>
            <w:r>
              <w:rPr>
                <w:rFonts w:ascii="Times New Roman" w:hAnsi="Times New Roman" w:cs="Times New Roman"/>
                <w:color w:val="auto"/>
                <w:sz w:val="21"/>
                <w:szCs w:val="21"/>
                <w:lang w:val="en-US"/>
              </w:rPr>
              <w:t>m³/h</w:t>
            </w:r>
          </w:p>
        </w:tc>
        <w:tc>
          <w:tcPr>
            <w:tcW w:w="1020" w:type="dxa"/>
            <w:vAlign w:val="top"/>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rPr>
              <w:t>5978</w:t>
            </w:r>
          </w:p>
        </w:tc>
        <w:tc>
          <w:tcPr>
            <w:tcW w:w="1020" w:type="dxa"/>
            <w:vAlign w:val="top"/>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rPr>
              <w:t>5810</w:t>
            </w:r>
          </w:p>
        </w:tc>
        <w:tc>
          <w:tcPr>
            <w:tcW w:w="1020" w:type="dxa"/>
            <w:vAlign w:val="top"/>
          </w:tcPr>
          <w:p>
            <w:pPr>
              <w:widowControl/>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bCs/>
                <w:color w:val="auto"/>
                <w:sz w:val="21"/>
                <w:szCs w:val="21"/>
                <w:lang w:val="en-US"/>
              </w:rPr>
              <w:t>5978</w:t>
            </w:r>
          </w:p>
        </w:tc>
        <w:tc>
          <w:tcPr>
            <w:tcW w:w="697" w:type="dxa"/>
            <w:vAlign w:val="center"/>
          </w:tcPr>
          <w:p>
            <w:pPr>
              <w:pStyle w:val="132"/>
              <w:spacing w:before="58"/>
              <w:ind w:left="0" w:leftChars="0" w:firstLine="0" w:firstLineChars="0"/>
              <w:jc w:val="center"/>
              <w:rPr>
                <w:rFonts w:hint="eastAsia" w:ascii="Times New Roman" w:hAnsi="Times New Roman" w:eastAsia="Times New Roman" w:cs="Times New Roman"/>
                <w:color w:val="auto"/>
                <w:sz w:val="21"/>
                <w:lang w:val="en-US" w:eastAsia="zh-CN"/>
              </w:rPr>
            </w:pPr>
            <w:r>
              <w:rPr>
                <w:rFonts w:hint="eastAsia" w:ascii="Times New Roman" w:hAnsi="Times New Roman" w:eastAsia="Times New Roman" w:cs="Times New Roman"/>
                <w:color w:val="auto"/>
                <w:sz w:val="21"/>
                <w:lang w:val="en-US" w:eastAsia="zh-CN"/>
              </w:rPr>
              <w:t>/</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rPr>
            </w:pPr>
          </w:p>
        </w:tc>
        <w:tc>
          <w:tcPr>
            <w:tcW w:w="990" w:type="dxa"/>
            <w:vMerge w:val="restart"/>
            <w:vAlign w:val="center"/>
          </w:tcPr>
          <w:p>
            <w:pPr>
              <w:pStyle w:val="3"/>
              <w:spacing w:after="0" w:line="240" w:lineRule="atLeast"/>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非甲烷</w:t>
            </w:r>
          </w:p>
          <w:p>
            <w:pPr>
              <w:pStyle w:val="3"/>
              <w:spacing w:after="0"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bCs/>
                <w:color w:val="auto"/>
                <w:sz w:val="21"/>
                <w:szCs w:val="21"/>
                <w:lang w:val="en-US" w:eastAsia="zh-CN"/>
              </w:rPr>
              <w:t>总烃</w:t>
            </w:r>
          </w:p>
        </w:tc>
        <w:tc>
          <w:tcPr>
            <w:tcW w:w="990" w:type="dxa"/>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Cs/>
                <w:color w:val="auto"/>
                <w:sz w:val="21"/>
                <w:szCs w:val="21"/>
                <w:lang w:val="en-US"/>
              </w:rPr>
              <w:t>排放浓度</w:t>
            </w:r>
          </w:p>
        </w:tc>
        <w:tc>
          <w:tcPr>
            <w:tcW w:w="810" w:type="dxa"/>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Cs/>
                <w:color w:val="auto"/>
                <w:sz w:val="21"/>
                <w:szCs w:val="21"/>
                <w:lang w:val="en-US"/>
              </w:rPr>
              <w:t>mg/m³</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2.84</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2.73</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2.65</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60</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50" w:type="dxa"/>
            <w:vMerge w:val="continue"/>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051" w:type="dxa"/>
            <w:vMerge w:val="continue"/>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rPr>
            </w:pPr>
          </w:p>
        </w:tc>
        <w:tc>
          <w:tcPr>
            <w:tcW w:w="990" w:type="dxa"/>
            <w:vMerge w:val="continue"/>
            <w:vAlign w:val="center"/>
          </w:tcPr>
          <w:p>
            <w:pPr>
              <w:pStyle w:val="3"/>
              <w:spacing w:after="0" w:line="240" w:lineRule="atLeast"/>
              <w:ind w:firstLine="0" w:firstLineChars="0"/>
              <w:jc w:val="center"/>
              <w:rPr>
                <w:rFonts w:ascii="Times New Roman" w:hAnsi="Times New Roman" w:cs="Times New Roman"/>
                <w:color w:val="auto"/>
                <w:sz w:val="21"/>
                <w:szCs w:val="21"/>
                <w:lang w:val="en-US"/>
              </w:rPr>
            </w:pPr>
          </w:p>
        </w:tc>
        <w:tc>
          <w:tcPr>
            <w:tcW w:w="990" w:type="dxa"/>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Cs/>
                <w:color w:val="auto"/>
                <w:sz w:val="21"/>
                <w:szCs w:val="21"/>
                <w:lang w:val="en-US"/>
              </w:rPr>
              <w:t>排放速率</w:t>
            </w:r>
          </w:p>
        </w:tc>
        <w:tc>
          <w:tcPr>
            <w:tcW w:w="810" w:type="dxa"/>
            <w:vAlign w:val="center"/>
          </w:tcPr>
          <w:p>
            <w:pPr>
              <w:widowControl/>
              <w:spacing w:line="240" w:lineRule="atLeast"/>
              <w:ind w:firstLine="0" w:firstLineChars="0"/>
              <w:jc w:val="center"/>
              <w:rPr>
                <w:rFonts w:ascii="Times New Roman" w:hAnsi="Times New Roman" w:cs="Times New Roman"/>
                <w:color w:val="auto"/>
                <w:sz w:val="21"/>
                <w:szCs w:val="21"/>
                <w:lang w:val="en-US"/>
              </w:rPr>
            </w:pPr>
            <w:r>
              <w:rPr>
                <w:rFonts w:ascii="Times New Roman" w:hAnsi="Times New Roman" w:cs="Times New Roman"/>
                <w:bCs/>
                <w:color w:val="auto"/>
                <w:sz w:val="21"/>
                <w:szCs w:val="21"/>
                <w:lang w:val="en-US"/>
              </w:rPr>
              <w:t>kg/h</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0.032</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0.031</w:t>
            </w:r>
          </w:p>
        </w:tc>
        <w:tc>
          <w:tcPr>
            <w:tcW w:w="1020" w:type="dxa"/>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0.030</w:t>
            </w:r>
          </w:p>
        </w:tc>
        <w:tc>
          <w:tcPr>
            <w:tcW w:w="697" w:type="dxa"/>
            <w:vAlign w:val="center"/>
          </w:tcPr>
          <w:p>
            <w:pPr>
              <w:pStyle w:val="3"/>
              <w:keepNext w:val="0"/>
              <w:keepLines w:val="0"/>
              <w:pageBreakBefore w:val="0"/>
              <w:kinsoku/>
              <w:wordWrap/>
              <w:overflowPunct/>
              <w:topLinePunct w:val="0"/>
              <w:autoSpaceDE w:val="0"/>
              <w:autoSpaceDN w:val="0"/>
              <w:bidi w:val="0"/>
              <w:adjustRightInd/>
              <w:snapToGrid/>
              <w:spacing w:after="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3.4</w:t>
            </w:r>
          </w:p>
        </w:tc>
        <w:tc>
          <w:tcPr>
            <w:tcW w:w="698" w:type="dxa"/>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346" w:type="dxa"/>
            <w:gridSpan w:val="10"/>
            <w:vAlign w:val="center"/>
          </w:tcPr>
          <w:p>
            <w:pPr>
              <w:numPr>
                <w:ilvl w:val="0"/>
                <w:numId w:val="0"/>
              </w:numPr>
              <w:spacing w:line="240" w:lineRule="atLeast"/>
              <w:jc w:val="left"/>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rPr>
              <w:br w:type="page"/>
            </w:r>
            <w:r>
              <w:rPr>
                <w:rFonts w:ascii="Times New Roman" w:hAnsi="Times New Roman" w:cs="Times New Roman"/>
                <w:color w:val="auto"/>
                <w:sz w:val="21"/>
                <w:szCs w:val="21"/>
                <w:lang w:val="en-US"/>
              </w:rPr>
              <w:t>评价标准：</w:t>
            </w:r>
            <w:r>
              <w:rPr>
                <w:rFonts w:hint="eastAsia" w:eastAsia="宋体"/>
                <w:color w:val="auto"/>
                <w:sz w:val="21"/>
                <w:szCs w:val="21"/>
                <w:lang w:val="en-US" w:eastAsia="zh-CN"/>
              </w:rPr>
              <w:t>检测结果显示，在检测期间，</w:t>
            </w:r>
            <w:r>
              <w:rPr>
                <w:rFonts w:hint="eastAsia" w:eastAsia="宋体" w:cs="Times New Roman"/>
                <w:color w:val="auto"/>
                <w:sz w:val="21"/>
                <w:szCs w:val="21"/>
                <w:lang w:val="en-US" w:eastAsia="zh-CN"/>
              </w:rPr>
              <w:t>检测结果满足</w:t>
            </w:r>
            <w:r>
              <w:rPr>
                <w:rFonts w:hint="eastAsia" w:ascii="宋体" w:hAnsi="宋体" w:eastAsia="宋体"/>
                <w:color w:val="auto"/>
                <w:sz w:val="21"/>
              </w:rPr>
              <w:t>《大气污染物综合排放标准》（</w:t>
            </w:r>
            <w:r>
              <w:rPr>
                <w:color w:val="auto"/>
                <w:sz w:val="21"/>
              </w:rPr>
              <w:t>GB</w:t>
            </w:r>
            <w:r>
              <w:rPr>
                <w:color w:val="auto"/>
                <w:spacing w:val="-14"/>
                <w:sz w:val="21"/>
              </w:rPr>
              <w:t xml:space="preserve"> </w:t>
            </w:r>
            <w:r>
              <w:rPr>
                <w:color w:val="auto"/>
                <w:sz w:val="21"/>
              </w:rPr>
              <w:t>16297-1996</w:t>
            </w:r>
            <w:r>
              <w:rPr>
                <w:rFonts w:hint="eastAsia" w:ascii="宋体" w:hAnsi="宋体" w:eastAsia="宋体"/>
                <w:color w:val="auto"/>
                <w:sz w:val="21"/>
              </w:rPr>
              <w:t>）表</w:t>
            </w:r>
            <w:r>
              <w:rPr>
                <w:color w:val="auto"/>
                <w:sz w:val="21"/>
              </w:rPr>
              <w:t>2</w:t>
            </w:r>
            <w:r>
              <w:rPr>
                <w:rFonts w:hint="eastAsia" w:ascii="宋体" w:hAnsi="宋体" w:eastAsia="宋体"/>
                <w:color w:val="auto"/>
                <w:sz w:val="21"/>
              </w:rPr>
              <w:t>其他二级标准限值</w:t>
            </w:r>
            <w:r>
              <w:rPr>
                <w:rFonts w:hint="eastAsia" w:cs="Times New Roman"/>
                <w:color w:val="auto"/>
                <w:sz w:val="21"/>
                <w:szCs w:val="21"/>
                <w:lang w:val="en-US" w:eastAsia="zh-CN"/>
              </w:rPr>
              <w:t>。</w:t>
            </w:r>
          </w:p>
        </w:tc>
      </w:tr>
    </w:tbl>
    <w:p>
      <w:pPr>
        <w:snapToGrid w:val="0"/>
        <w:spacing w:line="360" w:lineRule="auto"/>
        <w:ind w:firstLine="1680" w:firstLineChars="700"/>
        <w:jc w:val="center"/>
        <w:rPr>
          <w:bCs/>
          <w:sz w:val="24"/>
        </w:rPr>
      </w:pPr>
    </w:p>
    <w:p>
      <w:pPr>
        <w:snapToGrid w:val="0"/>
        <w:spacing w:line="360" w:lineRule="auto"/>
        <w:ind w:firstLine="480" w:firstLineChars="200"/>
        <w:rPr>
          <w:sz w:val="24"/>
        </w:rPr>
      </w:pPr>
      <w:r>
        <w:rPr>
          <w:sz w:val="24"/>
        </w:rPr>
        <w:t>废气监测结果评价及结论：</w:t>
      </w:r>
    </w:p>
    <w:p>
      <w:pPr>
        <w:snapToGrid w:val="0"/>
        <w:spacing w:line="360" w:lineRule="auto"/>
        <w:ind w:firstLine="480" w:firstLineChars="200"/>
        <w:rPr>
          <w:rFonts w:hint="eastAsia"/>
          <w:sz w:val="24"/>
          <w:lang w:eastAsia="zh-CN"/>
        </w:rPr>
      </w:pPr>
      <w:r>
        <w:rPr>
          <w:sz w:val="24"/>
        </w:rPr>
        <w:t>在监测期间，</w:t>
      </w:r>
      <w:r>
        <w:rPr>
          <w:rFonts w:hint="eastAsia"/>
          <w:sz w:val="24"/>
        </w:rPr>
        <w:t>项目大气污染物排放</w:t>
      </w:r>
      <w:r>
        <w:rPr>
          <w:rFonts w:hint="eastAsia"/>
          <w:sz w:val="24"/>
          <w:lang w:eastAsia="zh-CN"/>
        </w:rPr>
        <w:t>达到</w:t>
      </w:r>
      <w:r>
        <w:rPr>
          <w:rFonts w:hint="eastAsia"/>
          <w:sz w:val="24"/>
        </w:rPr>
        <w:t>《大气污染物综合排放标准》（</w:t>
      </w:r>
      <w:r>
        <w:rPr>
          <w:sz w:val="24"/>
        </w:rPr>
        <w:t>GB16297-1996</w:t>
      </w:r>
      <w:r>
        <w:rPr>
          <w:rFonts w:hint="eastAsia"/>
          <w:sz w:val="24"/>
        </w:rPr>
        <w:t>）二级标准</w:t>
      </w:r>
      <w:r>
        <w:rPr>
          <w:rFonts w:hint="eastAsia"/>
          <w:sz w:val="24"/>
          <w:lang w:eastAsia="zh-CN"/>
        </w:rPr>
        <w:t>。</w:t>
      </w:r>
    </w:p>
    <w:p>
      <w:pPr>
        <w:pStyle w:val="6"/>
      </w:pPr>
      <w:bookmarkStart w:id="91" w:name="_Toc50707432"/>
      <w:r>
        <w:t>7.3.2噪声监测结果及分析评价</w:t>
      </w:r>
      <w:bookmarkEnd w:id="91"/>
    </w:p>
    <w:p>
      <w:pPr>
        <w:snapToGrid w:val="0"/>
        <w:spacing w:line="360" w:lineRule="auto"/>
        <w:ind w:firstLine="480" w:firstLineChars="200"/>
        <w:rPr>
          <w:sz w:val="24"/>
        </w:rPr>
      </w:pPr>
      <w:r>
        <w:rPr>
          <w:sz w:val="24"/>
        </w:rPr>
        <w:t>监测点位：共 4 个点位，详见表 7.3-4；监测项目：厂界环境噪声；</w:t>
      </w:r>
    </w:p>
    <w:p>
      <w:pPr>
        <w:snapToGrid w:val="0"/>
        <w:spacing w:line="360" w:lineRule="auto"/>
        <w:ind w:firstLine="480" w:firstLineChars="200"/>
        <w:rPr>
          <w:sz w:val="24"/>
        </w:rPr>
      </w:pPr>
      <w:r>
        <w:rPr>
          <w:sz w:val="24"/>
        </w:rPr>
        <w:t>监测频次：连续监测 2 天，每天昼夜各监测 1 次；监测结果及分析评价见表7.3-4。</w:t>
      </w:r>
    </w:p>
    <w:p>
      <w:pPr>
        <w:spacing w:line="360" w:lineRule="auto"/>
        <w:ind w:firstLine="480" w:firstLineChars="200"/>
        <w:jc w:val="center"/>
        <w:rPr>
          <w:bCs/>
          <w:sz w:val="24"/>
        </w:rPr>
      </w:pPr>
      <w:r>
        <w:rPr>
          <w:bCs/>
          <w:sz w:val="24"/>
        </w:rPr>
        <w:t>表 7.3-</w:t>
      </w:r>
      <w:r>
        <w:rPr>
          <w:rFonts w:hint="eastAsia"/>
          <w:bCs/>
          <w:sz w:val="24"/>
          <w:lang w:val="en-US" w:eastAsia="zh-CN"/>
        </w:rPr>
        <w:t>3</w:t>
      </w:r>
      <w:r>
        <w:rPr>
          <w:bCs/>
          <w:sz w:val="24"/>
        </w:rPr>
        <w:tab/>
      </w:r>
      <w:r>
        <w:rPr>
          <w:bCs/>
          <w:sz w:val="24"/>
        </w:rPr>
        <w:t>项目厂界环境噪声监测结果表</w:t>
      </w:r>
      <w:r>
        <w:rPr>
          <w:bCs/>
          <w:sz w:val="24"/>
        </w:rPr>
        <w:tab/>
      </w:r>
      <w:r>
        <w:rPr>
          <w:bCs/>
          <w:sz w:val="24"/>
        </w:rPr>
        <w:t>单位：LAeq dB(A)</w:t>
      </w:r>
    </w:p>
    <w:tbl>
      <w:tblPr>
        <w:tblStyle w:val="44"/>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6"/>
        <w:gridCol w:w="1336"/>
        <w:gridCol w:w="1336"/>
        <w:gridCol w:w="1336"/>
        <w:gridCol w:w="1336"/>
        <w:gridCol w:w="1336"/>
        <w:gridCol w:w="1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36" w:type="dxa"/>
            <w:tcBorders>
              <w:tl2br w:val="nil"/>
              <w:tr2bl w:val="nil"/>
            </w:tcBorders>
            <w:vAlign w:val="center"/>
          </w:tcPr>
          <w:p>
            <w:pPr>
              <w:spacing w:line="240" w:lineRule="atLeast"/>
              <w:ind w:firstLine="0" w:firstLineChars="0"/>
              <w:jc w:val="center"/>
              <w:rPr>
                <w:rFonts w:hint="default" w:ascii="Times New Roman" w:hAnsi="Times New Roman" w:eastAsia="宋体" w:cs="Times New Roman"/>
                <w:b/>
                <w:bCs/>
                <w:color w:val="auto"/>
                <w:sz w:val="21"/>
                <w:szCs w:val="21"/>
                <w:lang w:val="en-US" w:eastAsia="zh-CN" w:bidi="zh-CN"/>
              </w:rPr>
            </w:pPr>
            <w:r>
              <w:rPr>
                <w:rFonts w:hint="eastAsia" w:ascii="Times New Roman" w:hAnsi="Times New Roman" w:cs="Times New Roman"/>
                <w:b/>
                <w:bCs/>
                <w:color w:val="auto"/>
                <w:sz w:val="21"/>
                <w:szCs w:val="21"/>
                <w:lang w:val="en-US" w:eastAsia="zh-CN"/>
              </w:rPr>
              <w:t>检测项目</w:t>
            </w:r>
          </w:p>
        </w:tc>
        <w:tc>
          <w:tcPr>
            <w:tcW w:w="1336" w:type="dxa"/>
            <w:tcBorders>
              <w:tl2br w:val="nil"/>
              <w:tr2bl w:val="nil"/>
            </w:tcBorders>
            <w:vAlign w:val="center"/>
          </w:tcPr>
          <w:p>
            <w:pPr>
              <w:pStyle w:val="3"/>
              <w:spacing w:after="0" w:line="240" w:lineRule="atLeast"/>
              <w:ind w:firstLine="0" w:firstLineChars="0"/>
              <w:jc w:val="center"/>
              <w:rPr>
                <w:rFonts w:ascii="Times New Roman" w:hAnsi="Times New Roman" w:eastAsia="宋体" w:cs="Times New Roman"/>
                <w:b/>
                <w:bCs/>
                <w:color w:val="auto"/>
                <w:sz w:val="21"/>
                <w:szCs w:val="21"/>
                <w:lang w:val="en-US" w:eastAsia="zh-CN" w:bidi="zh-CN"/>
              </w:rPr>
            </w:pPr>
            <w:r>
              <w:rPr>
                <w:rFonts w:ascii="Times New Roman" w:hAnsi="Times New Roman" w:cs="Times New Roman"/>
                <w:b/>
                <w:bCs/>
                <w:color w:val="auto"/>
                <w:sz w:val="21"/>
                <w:szCs w:val="21"/>
                <w:lang w:val="en-US"/>
              </w:rPr>
              <w:t>检测日期</w:t>
            </w:r>
          </w:p>
        </w:tc>
        <w:tc>
          <w:tcPr>
            <w:tcW w:w="1336" w:type="dxa"/>
            <w:tcBorders>
              <w:tl2br w:val="nil"/>
              <w:tr2bl w:val="nil"/>
            </w:tcBorders>
            <w:vAlign w:val="center"/>
          </w:tcPr>
          <w:p>
            <w:pPr>
              <w:pStyle w:val="3"/>
              <w:spacing w:after="0" w:line="240" w:lineRule="atLeas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bCs/>
                <w:color w:val="auto"/>
                <w:sz w:val="21"/>
                <w:szCs w:val="21"/>
                <w:lang w:val="en-US" w:eastAsia="zh-CN"/>
              </w:rPr>
              <w:t>点位编号</w:t>
            </w:r>
          </w:p>
        </w:tc>
        <w:tc>
          <w:tcPr>
            <w:tcW w:w="1336" w:type="dxa"/>
            <w:tcBorders>
              <w:tl2br w:val="nil"/>
              <w:tr2bl w:val="nil"/>
            </w:tcBorders>
            <w:vAlign w:val="center"/>
          </w:tcPr>
          <w:p>
            <w:pPr>
              <w:pStyle w:val="3"/>
              <w:spacing w:after="0" w:line="240" w:lineRule="atLeast"/>
              <w:ind w:firstLine="0" w:firstLineChars="0"/>
              <w:jc w:val="center"/>
              <w:rPr>
                <w:rFonts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测量时段</w:t>
            </w:r>
          </w:p>
        </w:tc>
        <w:tc>
          <w:tcPr>
            <w:tcW w:w="1336" w:type="dxa"/>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b/>
                <w:bCs/>
                <w:color w:val="auto"/>
                <w:sz w:val="21"/>
                <w:szCs w:val="21"/>
                <w:lang w:val="en-US" w:eastAsia="zh-CN"/>
              </w:rPr>
              <w:t>测量值</w:t>
            </w:r>
            <w:r>
              <w:rPr>
                <w:rFonts w:ascii="Times New Roman" w:hAnsi="Times New Roman" w:cs="Times New Roman"/>
                <w:b/>
                <w:bCs/>
                <w:color w:val="auto"/>
                <w:sz w:val="21"/>
                <w:szCs w:val="21"/>
                <w:lang w:val="en-US"/>
              </w:rPr>
              <w:t>L</w:t>
            </w:r>
            <w:r>
              <w:rPr>
                <w:rFonts w:ascii="Times New Roman" w:hAnsi="Times New Roman" w:cs="Times New Roman"/>
                <w:b/>
                <w:bCs/>
                <w:color w:val="auto"/>
                <w:sz w:val="21"/>
                <w:szCs w:val="21"/>
                <w:vertAlign w:val="subscript"/>
                <w:lang w:val="en-US"/>
              </w:rPr>
              <w:t>Aeq</w:t>
            </w:r>
          </w:p>
        </w:tc>
        <w:tc>
          <w:tcPr>
            <w:tcW w:w="1336" w:type="dxa"/>
            <w:tcBorders>
              <w:tl2br w:val="nil"/>
              <w:tr2bl w:val="nil"/>
            </w:tcBorders>
            <w:vAlign w:val="center"/>
          </w:tcPr>
          <w:p>
            <w:pPr>
              <w:spacing w:line="240" w:lineRule="atLeast"/>
              <w:ind w:firstLine="0" w:firstLineChars="0"/>
              <w:jc w:val="center"/>
              <w:rPr>
                <w:rFonts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标准限值</w:t>
            </w:r>
          </w:p>
        </w:tc>
        <w:tc>
          <w:tcPr>
            <w:tcW w:w="1338" w:type="dxa"/>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b/>
                <w:bCs/>
                <w:color w:val="auto"/>
                <w:sz w:val="21"/>
                <w:szCs w:val="21"/>
                <w:lang w:val="en-US"/>
              </w:rPr>
              <w:t>结果评价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36" w:type="dxa"/>
            <w:vMerge w:val="restart"/>
            <w:tcBorders>
              <w:tl2br w:val="nil"/>
              <w:tr2bl w:val="nil"/>
            </w:tcBorders>
            <w:vAlign w:val="center"/>
          </w:tcPr>
          <w:p>
            <w:pPr>
              <w:spacing w:line="240" w:lineRule="atLeast"/>
              <w:ind w:firstLine="0" w:firstLineChars="0"/>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工业企业厂界环境噪声</w:t>
            </w:r>
          </w:p>
          <w:p>
            <w:pPr>
              <w:pStyle w:val="3"/>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jc w:val="center"/>
              <w:textAlignment w:val="auto"/>
              <w:rPr>
                <w:rFonts w:hint="eastAsia" w:eastAsia="宋体"/>
                <w:color w:val="auto"/>
                <w:sz w:val="21"/>
                <w:szCs w:val="21"/>
                <w:lang w:val="en-US" w:eastAsia="zh-CN"/>
              </w:rPr>
            </w:pPr>
            <w:r>
              <w:rPr>
                <w:rFonts w:hint="eastAsia" w:ascii="Times New Roman" w:hAnsi="Times New Roman" w:cs="Times New Roman"/>
                <w:bCs/>
                <w:color w:val="auto"/>
                <w:sz w:val="21"/>
                <w:szCs w:val="21"/>
                <w:lang w:val="en-US" w:eastAsia="zh-CN"/>
              </w:rPr>
              <w:t xml:space="preserve"> </w:t>
            </w:r>
          </w:p>
        </w:tc>
        <w:tc>
          <w:tcPr>
            <w:tcW w:w="1336" w:type="dxa"/>
            <w:vMerge w:val="restart"/>
            <w:tcBorders>
              <w:tl2br w:val="nil"/>
              <w:tr2bl w:val="nil"/>
            </w:tcBorders>
            <w:vAlign w:val="center"/>
          </w:tcPr>
          <w:p>
            <w:pPr>
              <w:widowControl/>
              <w:spacing w:line="240" w:lineRule="atLeast"/>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2022.10.11</w:t>
            </w:r>
          </w:p>
        </w:tc>
        <w:tc>
          <w:tcPr>
            <w:tcW w:w="1336" w:type="dxa"/>
            <w:vMerge w:val="restart"/>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b/>
                <w:color w:val="auto"/>
                <w:sz w:val="21"/>
                <w:szCs w:val="21"/>
                <w:lang w:val="en-US" w:eastAsia="zh-CN" w:bidi="zh-CN"/>
              </w:rPr>
            </w:pPr>
            <w:r>
              <w:rPr>
                <w:rFonts w:hint="eastAsia" w:ascii="Times New Roman" w:hAnsi="Times New Roman"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4</w:t>
            </w:r>
          </w:p>
        </w:tc>
        <w:tc>
          <w:tcPr>
            <w:tcW w:w="1336" w:type="dxa"/>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bCs/>
                <w:color w:val="auto"/>
                <w:sz w:val="21"/>
                <w:szCs w:val="21"/>
                <w:lang w:val="en-US"/>
              </w:rPr>
            </w:pPr>
          </w:p>
        </w:tc>
        <w:tc>
          <w:tcPr>
            <w:tcW w:w="1336" w:type="dxa"/>
            <w:vMerge w:val="continue"/>
            <w:tcBorders>
              <w:tl2br w:val="nil"/>
              <w:tr2bl w:val="nil"/>
            </w:tcBorders>
            <w:vAlign w:val="center"/>
          </w:tcPr>
          <w:p>
            <w:pPr>
              <w:widowControl/>
              <w:spacing w:line="240" w:lineRule="atLeast"/>
              <w:ind w:firstLine="0" w:firstLineChars="0"/>
              <w:jc w:val="center"/>
              <w:rPr>
                <w:rFonts w:hint="eastAsia" w:ascii="Times New Roman" w:hAnsi="Times New Roman" w:cs="Times New Roman"/>
                <w:color w:val="auto"/>
                <w:sz w:val="21"/>
                <w:szCs w:val="21"/>
                <w:lang w:val="en-US" w:eastAsia="zh-CN"/>
              </w:rPr>
            </w:pPr>
          </w:p>
        </w:tc>
        <w:tc>
          <w:tcPr>
            <w:tcW w:w="1336" w:type="dxa"/>
            <w:vMerge w:val="continue"/>
            <w:tcBorders>
              <w:tl2br w:val="nil"/>
              <w:tr2bl w:val="nil"/>
            </w:tcBorders>
            <w:vAlign w:val="center"/>
          </w:tcPr>
          <w:p>
            <w:pPr>
              <w:pStyle w:val="132"/>
              <w:spacing w:line="240" w:lineRule="auto"/>
              <w:ind w:firstLine="0" w:firstLineChars="0"/>
              <w:jc w:val="center"/>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restart"/>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5</w:t>
            </w:r>
          </w:p>
        </w:tc>
        <w:tc>
          <w:tcPr>
            <w:tcW w:w="1336" w:type="dxa"/>
            <w:tcBorders>
              <w:tl2br w:val="nil"/>
              <w:tr2bl w:val="nil"/>
            </w:tcBorders>
            <w:vAlign w:val="center"/>
          </w:tcPr>
          <w:p>
            <w:pPr>
              <w:spacing w:line="240" w:lineRule="atLeast"/>
              <w:ind w:firstLine="0" w:firstLineChars="0"/>
              <w:jc w:val="center"/>
              <w:rPr>
                <w:rFonts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61</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spacing w:line="240" w:lineRule="auto"/>
              <w:ind w:firstLine="0" w:firstLineChars="0"/>
              <w:jc w:val="center"/>
              <w:rPr>
                <w:rFonts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uto"/>
              <w:ind w:left="0" w:leftChars="0" w:firstLine="0" w:firstLineChars="0"/>
              <w:jc w:val="center"/>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52</w:t>
            </w:r>
          </w:p>
        </w:tc>
        <w:tc>
          <w:tcPr>
            <w:tcW w:w="133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restart"/>
            <w:tcBorders>
              <w:tl2br w:val="nil"/>
              <w:tr2bl w:val="nil"/>
            </w:tcBorders>
            <w:vAlign w:val="center"/>
          </w:tcPr>
          <w:p>
            <w:pPr>
              <w:pStyle w:val="132"/>
              <w:spacing w:line="240" w:lineRule="auto"/>
              <w:ind w:firstLine="0" w:firstLineChars="0"/>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cs="Times New Roman"/>
                <w:color w:val="auto"/>
                <w:sz w:val="21"/>
                <w:szCs w:val="21"/>
                <w:highlight w:val="none"/>
                <w:lang w:val="en-US"/>
              </w:rPr>
              <w:t>▲</w:t>
            </w:r>
            <w:r>
              <w:rPr>
                <w:rFonts w:hint="eastAsia" w:eastAsia="宋体" w:cs="Times New Roman"/>
                <w:color w:val="auto"/>
                <w:sz w:val="21"/>
                <w:szCs w:val="21"/>
                <w:highlight w:val="none"/>
                <w:lang w:val="en-US" w:eastAsia="zh-CN"/>
              </w:rPr>
              <w:t>6</w:t>
            </w: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63</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uto"/>
              <w:ind w:left="0" w:leftChars="0" w:firstLine="0" w:firstLineChars="0"/>
              <w:jc w:val="center"/>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53</w:t>
            </w:r>
          </w:p>
        </w:tc>
        <w:tc>
          <w:tcPr>
            <w:tcW w:w="133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restart"/>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7</w:t>
            </w: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60</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uto"/>
              <w:ind w:left="0" w:leftChars="0" w:firstLine="0" w:firstLineChars="0"/>
              <w:jc w:val="center"/>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49</w:t>
            </w:r>
          </w:p>
        </w:tc>
        <w:tc>
          <w:tcPr>
            <w:tcW w:w="133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p>
        </w:tc>
        <w:tc>
          <w:tcPr>
            <w:tcW w:w="1336" w:type="dxa"/>
            <w:vMerge w:val="restart"/>
            <w:tcBorders>
              <w:tl2br w:val="nil"/>
              <w:tr2bl w:val="nil"/>
            </w:tcBorders>
            <w:vAlign w:val="center"/>
          </w:tcPr>
          <w:p>
            <w:pPr>
              <w:pStyle w:val="3"/>
              <w:spacing w:after="0" w:line="240" w:lineRule="atLeas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2022.10.12</w:t>
            </w:r>
          </w:p>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 xml:space="preserve"> </w:t>
            </w:r>
          </w:p>
        </w:tc>
        <w:tc>
          <w:tcPr>
            <w:tcW w:w="1336" w:type="dxa"/>
            <w:vMerge w:val="restart"/>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b/>
                <w:color w:val="auto"/>
                <w:sz w:val="21"/>
                <w:szCs w:val="21"/>
                <w:lang w:val="en-US" w:eastAsia="zh-CN" w:bidi="zh-CN"/>
              </w:rPr>
            </w:pPr>
            <w:r>
              <w:rPr>
                <w:rFonts w:hint="eastAsia" w:ascii="Times New Roman" w:hAnsi="Times New Roman"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4</w:t>
            </w:r>
          </w:p>
        </w:tc>
        <w:tc>
          <w:tcPr>
            <w:tcW w:w="1336" w:type="dxa"/>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spacing w:line="240" w:lineRule="auto"/>
              <w:ind w:firstLine="0" w:firstLineChars="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bCs/>
                <w:color w:val="auto"/>
                <w:sz w:val="21"/>
                <w:szCs w:val="21"/>
                <w:lang w:val="en-US"/>
              </w:rPr>
            </w:pPr>
          </w:p>
        </w:tc>
        <w:tc>
          <w:tcPr>
            <w:tcW w:w="1336" w:type="dxa"/>
            <w:vMerge w:val="continue"/>
            <w:tcBorders>
              <w:tl2br w:val="nil"/>
              <w:tr2bl w:val="nil"/>
            </w:tcBorders>
            <w:vAlign w:val="center"/>
          </w:tcPr>
          <w:p>
            <w:pPr>
              <w:widowControl/>
              <w:spacing w:line="240" w:lineRule="atLeast"/>
              <w:ind w:firstLine="0" w:firstLineChars="0"/>
              <w:jc w:val="center"/>
              <w:rPr>
                <w:rFonts w:hint="eastAsia" w:ascii="Times New Roman" w:hAnsi="Times New Roman" w:cs="Times New Roman"/>
                <w:color w:val="auto"/>
                <w:sz w:val="21"/>
                <w:szCs w:val="21"/>
                <w:lang w:val="en-US" w:eastAsia="zh-CN"/>
              </w:rPr>
            </w:pPr>
          </w:p>
        </w:tc>
        <w:tc>
          <w:tcPr>
            <w:tcW w:w="1336" w:type="dxa"/>
            <w:vMerge w:val="continue"/>
            <w:tcBorders>
              <w:tl2br w:val="nil"/>
              <w:tr2bl w:val="nil"/>
            </w:tcBorders>
            <w:vAlign w:val="center"/>
          </w:tcPr>
          <w:p>
            <w:pPr>
              <w:pStyle w:val="132"/>
              <w:spacing w:line="240" w:lineRule="auto"/>
              <w:ind w:firstLine="0" w:firstLineChars="0"/>
              <w:jc w:val="center"/>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restart"/>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5</w:t>
            </w:r>
          </w:p>
        </w:tc>
        <w:tc>
          <w:tcPr>
            <w:tcW w:w="1336" w:type="dxa"/>
            <w:tcBorders>
              <w:tl2br w:val="nil"/>
              <w:tr2bl w:val="nil"/>
            </w:tcBorders>
            <w:vAlign w:val="center"/>
          </w:tcPr>
          <w:p>
            <w:pPr>
              <w:spacing w:line="240" w:lineRule="atLeast"/>
              <w:ind w:firstLine="0" w:firstLineChars="0"/>
              <w:jc w:val="center"/>
              <w:rPr>
                <w:rFonts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64</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spacing w:line="240" w:lineRule="auto"/>
              <w:ind w:firstLine="0" w:firstLineChars="0"/>
              <w:jc w:val="center"/>
              <w:rPr>
                <w:rFonts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tLeast"/>
              <w:ind w:firstLine="0" w:firstLineChars="0"/>
              <w:jc w:val="center"/>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spacing w:line="240" w:lineRule="auto"/>
              <w:ind w:left="0" w:leftChars="0" w:firstLine="0" w:firstLineChars="0"/>
              <w:jc w:val="center"/>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51</w:t>
            </w:r>
          </w:p>
        </w:tc>
        <w:tc>
          <w:tcPr>
            <w:tcW w:w="133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pStyle w:val="3"/>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jc w:val="center"/>
              <w:textAlignment w:val="auto"/>
              <w:rPr>
                <w:color w:val="auto"/>
                <w:sz w:val="21"/>
                <w:szCs w:val="21"/>
                <w:lang w:val="en-US"/>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restart"/>
            <w:tcBorders>
              <w:tl2br w:val="nil"/>
              <w:tr2bl w:val="nil"/>
            </w:tcBorders>
            <w:vAlign w:val="center"/>
          </w:tcPr>
          <w:p>
            <w:pPr>
              <w:pStyle w:val="132"/>
              <w:spacing w:line="240" w:lineRule="auto"/>
              <w:ind w:firstLine="0" w:firstLineChars="0"/>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cs="Times New Roman"/>
                <w:color w:val="auto"/>
                <w:sz w:val="21"/>
                <w:szCs w:val="21"/>
                <w:highlight w:val="none"/>
                <w:lang w:val="en-US"/>
              </w:rPr>
              <w:t>▲</w:t>
            </w:r>
            <w:r>
              <w:rPr>
                <w:rFonts w:hint="eastAsia" w:eastAsia="宋体" w:cs="Times New Roman"/>
                <w:color w:val="auto"/>
                <w:sz w:val="21"/>
                <w:szCs w:val="21"/>
                <w:highlight w:val="none"/>
                <w:lang w:val="en-US" w:eastAsia="zh-CN"/>
              </w:rPr>
              <w:t>6</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60</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jc w:val="center"/>
              <w:textAlignment w:val="auto"/>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52</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restart"/>
            <w:tcBorders>
              <w:tl2br w:val="nil"/>
              <w:tr2bl w:val="nil"/>
            </w:tcBorders>
            <w:vAlign w:val="center"/>
          </w:tcPr>
          <w:p>
            <w:pPr>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bidi="zh-CN"/>
              </w:rPr>
            </w:pPr>
            <w:r>
              <w:rPr>
                <w:rFonts w:hint="eastAsia" w:ascii="Times New Roman" w:hAnsi="Times New Roman"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7</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昼间</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63</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65</w:t>
            </w:r>
          </w:p>
        </w:tc>
        <w:tc>
          <w:tcPr>
            <w:tcW w:w="133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ascii="Times New Roman" w:hAnsi="Times New Roman" w:cs="Times New Roman"/>
                <w:color w:val="auto"/>
                <w:sz w:val="21"/>
                <w:szCs w:val="21"/>
                <w:lang w:val="en-US"/>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firstLine="0" w:firstLineChars="0"/>
              <w:jc w:val="center"/>
              <w:textAlignment w:val="auto"/>
              <w:rPr>
                <w:rFonts w:hint="eastAsia" w:ascii="Times New Roman" w:hAnsi="Times New Roman" w:cs="Times New Roman"/>
                <w:color w:val="auto"/>
                <w:sz w:val="21"/>
                <w:szCs w:val="21"/>
                <w:highlight w:val="none"/>
                <w:lang w:val="en-US"/>
              </w:rPr>
            </w:pP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夜间</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48</w:t>
            </w:r>
          </w:p>
        </w:tc>
        <w:tc>
          <w:tcPr>
            <w:tcW w:w="133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55</w:t>
            </w:r>
          </w:p>
        </w:tc>
        <w:tc>
          <w:tcPr>
            <w:tcW w:w="133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9354" w:type="dxa"/>
            <w:gridSpan w:val="7"/>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rPr>
              <w:t>评价标准：</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val="en-US"/>
              </w:rPr>
              <w:t>执行《工业企业厂界环境噪声排放标准》（GB 12348-2008）表1中</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rPr>
              <w:t>类标准限值</w:t>
            </w:r>
            <w:r>
              <w:rPr>
                <w:rFonts w:hint="eastAsia"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tLeast"/>
              <w:ind w:left="420" w:hanging="420" w:hanging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2、当测量值结果低于噪声源排放标准限值时，可不进行背景噪声测量及修正。</w:t>
            </w:r>
          </w:p>
        </w:tc>
      </w:tr>
    </w:tbl>
    <w:p>
      <w:pPr>
        <w:snapToGrid w:val="0"/>
        <w:spacing w:line="360" w:lineRule="auto"/>
        <w:ind w:firstLine="480" w:firstLineChars="200"/>
        <w:rPr>
          <w:sz w:val="24"/>
        </w:rPr>
      </w:pPr>
      <w:r>
        <w:rPr>
          <w:sz w:val="24"/>
        </w:rPr>
        <w:t>噪声监测结果评价及结论：</w:t>
      </w:r>
    </w:p>
    <w:p>
      <w:pPr>
        <w:snapToGrid w:val="0"/>
        <w:spacing w:line="360" w:lineRule="auto"/>
        <w:ind w:firstLine="480" w:firstLineChars="200"/>
      </w:pPr>
      <w:r>
        <w:rPr>
          <w:sz w:val="24"/>
        </w:rPr>
        <w:t>由表 7.3-</w:t>
      </w:r>
      <w:r>
        <w:rPr>
          <w:rFonts w:hint="eastAsia"/>
          <w:sz w:val="24"/>
          <w:lang w:val="en-US" w:eastAsia="zh-CN"/>
        </w:rPr>
        <w:t>3</w:t>
      </w:r>
      <w:r>
        <w:rPr>
          <w:sz w:val="24"/>
        </w:rPr>
        <w:t xml:space="preserve"> 可知，验收监测期间，厂界各侧的昼夜噪声均达到《工业企业厂界环境噪声排放标准》（GB12348-2008）的3类标准要求。</w:t>
      </w:r>
    </w:p>
    <w:bookmarkEnd w:id="90"/>
    <w:p>
      <w:pPr>
        <w:pStyle w:val="4"/>
        <w:spacing w:before="120" w:after="120"/>
        <w:jc w:val="center"/>
        <w:rPr>
          <w:rFonts w:eastAsia="宋体"/>
        </w:rPr>
      </w:pPr>
      <w:bookmarkStart w:id="92" w:name="_Toc50707435"/>
      <w:r>
        <w:rPr>
          <w:rFonts w:hint="eastAsia" w:eastAsia="宋体"/>
        </w:rPr>
        <w:t>8</w:t>
      </w:r>
      <w:r>
        <w:rPr>
          <w:rFonts w:eastAsia="宋体"/>
        </w:rPr>
        <w:t>环境管理情况检查</w:t>
      </w:r>
      <w:bookmarkEnd w:id="92"/>
    </w:p>
    <w:p>
      <w:pPr>
        <w:pStyle w:val="5"/>
        <w:spacing w:before="120" w:after="120"/>
        <w:rPr>
          <w:rFonts w:ascii="Times New Roman" w:hAnsi="Times New Roman" w:eastAsia="宋体"/>
          <w:b/>
          <w:szCs w:val="30"/>
        </w:rPr>
      </w:pPr>
      <w:bookmarkStart w:id="93" w:name="_bookmark33"/>
      <w:bookmarkEnd w:id="93"/>
      <w:bookmarkStart w:id="94" w:name="8.1_建设项目环境管理制度执行情况"/>
      <w:bookmarkEnd w:id="94"/>
      <w:bookmarkStart w:id="95" w:name="_Toc50707436"/>
      <w:r>
        <w:rPr>
          <w:rFonts w:hint="eastAsia" w:ascii="Times New Roman" w:hAnsi="Times New Roman" w:eastAsia="宋体"/>
          <w:b/>
          <w:szCs w:val="30"/>
        </w:rPr>
        <w:t>8</w:t>
      </w:r>
      <w:r>
        <w:rPr>
          <w:rFonts w:ascii="Times New Roman" w:hAnsi="Times New Roman" w:eastAsia="宋体"/>
          <w:b/>
          <w:szCs w:val="30"/>
        </w:rPr>
        <w:t>.1 建设项目环境管理制度执行情况</w:t>
      </w:r>
      <w:bookmarkEnd w:id="95"/>
    </w:p>
    <w:p>
      <w:pPr>
        <w:pStyle w:val="6"/>
      </w:pPr>
      <w:bookmarkStart w:id="96" w:name="_Toc50707437"/>
      <w:r>
        <w:rPr>
          <w:rFonts w:hint="eastAsia"/>
        </w:rPr>
        <w:t>8</w:t>
      </w:r>
      <w:r>
        <w:t>.1.1环境影响评价制度</w:t>
      </w:r>
      <w:bookmarkEnd w:id="96"/>
    </w:p>
    <w:p>
      <w:pPr>
        <w:snapToGrid w:val="0"/>
        <w:spacing w:line="360" w:lineRule="auto"/>
        <w:ind w:firstLine="480" w:firstLineChars="200"/>
        <w:rPr>
          <w:sz w:val="24"/>
        </w:rPr>
      </w:pPr>
      <w:r>
        <w:rPr>
          <w:sz w:val="24"/>
        </w:rPr>
        <w:t>在项目工程准备阶段</w:t>
      </w:r>
      <w:r>
        <w:rPr>
          <w:rFonts w:hint="eastAsia"/>
          <w:sz w:val="24"/>
        </w:rPr>
        <w:t>，</w:t>
      </w:r>
      <w:r>
        <w:rPr>
          <w:rFonts w:hint="eastAsia"/>
          <w:sz w:val="24"/>
          <w:lang w:eastAsia="zh-CN"/>
        </w:rPr>
        <w:t>中昊晨光化工研究院有限公司</w:t>
      </w:r>
      <w:r>
        <w:rPr>
          <w:sz w:val="24"/>
        </w:rPr>
        <w:t>委托</w:t>
      </w:r>
      <w:r>
        <w:rPr>
          <w:rFonts w:hint="eastAsia"/>
          <w:sz w:val="24"/>
          <w:lang w:eastAsia="zh-CN"/>
        </w:rPr>
        <w:t>四川省环科源科技有限公司</w:t>
      </w:r>
      <w:r>
        <w:rPr>
          <w:sz w:val="24"/>
        </w:rPr>
        <w:t>进行了该项目的环境影响评价工作，编制完成了该项目环境影响报告书并通过了</w:t>
      </w:r>
      <w:r>
        <w:rPr>
          <w:rFonts w:hint="eastAsia"/>
          <w:sz w:val="24"/>
          <w:lang w:eastAsia="zh-CN"/>
        </w:rPr>
        <w:t>四川省环境保护厅</w:t>
      </w:r>
      <w:r>
        <w:rPr>
          <w:sz w:val="24"/>
        </w:rPr>
        <w:t>的评审，</w:t>
      </w:r>
      <w:r>
        <w:rPr>
          <w:rFonts w:hint="eastAsia"/>
          <w:sz w:val="24"/>
          <w:lang w:eastAsia="zh-CN"/>
        </w:rPr>
        <w:t>四川省环境保护厅</w:t>
      </w:r>
      <w:r>
        <w:rPr>
          <w:sz w:val="24"/>
        </w:rPr>
        <w:t>对该项目环境影响报告书进行了批复，从环境保护的角度同意该工程的建设。</w:t>
      </w:r>
    </w:p>
    <w:p>
      <w:pPr>
        <w:pStyle w:val="6"/>
      </w:pPr>
      <w:bookmarkStart w:id="97" w:name="_Toc50707438"/>
      <w:r>
        <w:rPr>
          <w:rFonts w:hint="eastAsia"/>
        </w:rPr>
        <w:t>8</w:t>
      </w:r>
      <w:r>
        <w:t>.1.2环境保护“三同时”制度</w:t>
      </w:r>
      <w:bookmarkEnd w:id="97"/>
    </w:p>
    <w:p>
      <w:pPr>
        <w:snapToGrid w:val="0"/>
        <w:spacing w:line="360" w:lineRule="auto"/>
        <w:ind w:firstLine="480" w:firstLineChars="200"/>
        <w:rPr>
          <w:sz w:val="24"/>
        </w:rPr>
      </w:pPr>
      <w:r>
        <w:rPr>
          <w:sz w:val="24"/>
        </w:rPr>
        <w:t>在工程初步设计和施工图设计中考虑了污染物治理、工程占地、排水系统以及绿化工程等环保问题，在初步设计概算中落实了项目的环境保护投资。</w:t>
      </w:r>
    </w:p>
    <w:p>
      <w:pPr>
        <w:snapToGrid w:val="0"/>
        <w:spacing w:line="360" w:lineRule="auto"/>
        <w:ind w:firstLine="480" w:firstLineChars="200"/>
        <w:rPr>
          <w:sz w:val="24"/>
        </w:rPr>
      </w:pPr>
      <w:r>
        <w:rPr>
          <w:sz w:val="24"/>
        </w:rPr>
        <w:t>根据项目环境影响报告书提出的环境保护措施与建议和各级环保部门对该项目环评的批复要求，建设单位在施工期和试营运期积极落实有关环境保护措施与要求，在废气、废水、噪声、固废以及绿化工程等方面采取了大量行之有效的工作。</w:t>
      </w:r>
    </w:p>
    <w:p>
      <w:pPr>
        <w:pStyle w:val="6"/>
      </w:pPr>
      <w:bookmarkStart w:id="98" w:name="_Toc50707439"/>
      <w:r>
        <w:rPr>
          <w:rFonts w:hint="eastAsia"/>
        </w:rPr>
        <w:t>8</w:t>
      </w:r>
      <w:r>
        <w:t>.1.3竣工环境保护验收制度</w:t>
      </w:r>
      <w:bookmarkEnd w:id="98"/>
    </w:p>
    <w:p>
      <w:pPr>
        <w:snapToGrid w:val="0"/>
        <w:spacing w:line="360" w:lineRule="auto"/>
        <w:ind w:firstLine="480" w:firstLineChars="200"/>
        <w:rPr>
          <w:sz w:val="24"/>
        </w:rPr>
      </w:pPr>
      <w:r>
        <w:rPr>
          <w:sz w:val="24"/>
        </w:rPr>
        <w:t>按照环境保护“三同时”制度的要求，建设单位委托承担该工程的环境保护验收工作。在调查监测过程中，建设单位根据调查发现的问题，积极主动组织落实和完善相关环境保护措施。</w:t>
      </w:r>
    </w:p>
    <w:p>
      <w:pPr>
        <w:snapToGrid w:val="0"/>
        <w:spacing w:line="360" w:lineRule="auto"/>
        <w:ind w:firstLine="480" w:firstLineChars="200"/>
        <w:rPr>
          <w:sz w:val="24"/>
        </w:rPr>
      </w:pPr>
      <w:r>
        <w:rPr>
          <w:sz w:val="24"/>
        </w:rPr>
        <w:t>综上所述，项目在建设期间较好地执行了建设项目环境影响评价制度、环境保护“三同时”制度、环境监测制度以及竣工环境保护验收制度。</w:t>
      </w:r>
    </w:p>
    <w:p>
      <w:pPr>
        <w:pStyle w:val="5"/>
        <w:spacing w:before="120" w:after="120"/>
        <w:rPr>
          <w:rFonts w:ascii="Times New Roman" w:hAnsi="Times New Roman" w:eastAsia="宋体"/>
          <w:b/>
          <w:szCs w:val="30"/>
        </w:rPr>
      </w:pPr>
      <w:bookmarkStart w:id="99" w:name="_bookmark34"/>
      <w:bookmarkEnd w:id="99"/>
      <w:bookmarkStart w:id="100" w:name="8.2_环保机构、环境管理规章制度"/>
      <w:bookmarkEnd w:id="100"/>
      <w:bookmarkStart w:id="101" w:name="_Toc50707440"/>
      <w:r>
        <w:rPr>
          <w:rFonts w:hint="eastAsia" w:ascii="Times New Roman" w:hAnsi="Times New Roman" w:eastAsia="宋体"/>
          <w:b/>
          <w:szCs w:val="30"/>
        </w:rPr>
        <w:t>8</w:t>
      </w:r>
      <w:r>
        <w:rPr>
          <w:rFonts w:ascii="Times New Roman" w:hAnsi="Times New Roman" w:eastAsia="宋体"/>
          <w:b/>
          <w:szCs w:val="30"/>
        </w:rPr>
        <w:t>.2 环保机构、环境管理规章制度</w:t>
      </w:r>
      <w:bookmarkEnd w:id="101"/>
    </w:p>
    <w:p>
      <w:pPr>
        <w:snapToGrid w:val="0"/>
        <w:spacing w:line="360" w:lineRule="auto"/>
        <w:ind w:firstLine="480" w:firstLineChars="200"/>
        <w:rPr>
          <w:sz w:val="24"/>
        </w:rPr>
      </w:pPr>
      <w:r>
        <w:rPr>
          <w:sz w:val="24"/>
        </w:rPr>
        <w:t>公司已建设环境保护机构，并制定《环境保护管理制度》。该制度中对工作目标、工作范围、责任体系、废水排放管理、大气污染的管理、环保设施管理、</w:t>
      </w:r>
      <w:r>
        <w:rPr>
          <w:rFonts w:hint="eastAsia"/>
          <w:sz w:val="24"/>
        </w:rPr>
        <w:t>环境</w:t>
      </w:r>
      <w:r>
        <w:rPr>
          <w:sz w:val="24"/>
        </w:rPr>
        <w:t>保护奖罚管理等做了详细规定。</w:t>
      </w:r>
    </w:p>
    <w:p>
      <w:pPr>
        <w:snapToGrid w:val="0"/>
        <w:spacing w:line="360" w:lineRule="auto"/>
        <w:ind w:firstLine="480" w:firstLineChars="200"/>
        <w:rPr>
          <w:sz w:val="24"/>
        </w:rPr>
      </w:pPr>
      <w:r>
        <w:rPr>
          <w:sz w:val="24"/>
        </w:rPr>
        <w:t>施工期和营运期间环境保护的档案管理严格按照建设单位制定的档案管理办法，进行相关资料、文件和图纸等的收集、归档和查阅工作。</w:t>
      </w:r>
    </w:p>
    <w:p>
      <w:pPr>
        <w:pStyle w:val="5"/>
        <w:spacing w:before="120" w:after="120"/>
        <w:rPr>
          <w:rFonts w:ascii="Times New Roman" w:hAnsi="Times New Roman" w:eastAsia="宋体"/>
          <w:b/>
          <w:szCs w:val="30"/>
        </w:rPr>
      </w:pPr>
      <w:bookmarkStart w:id="102" w:name="8.3环境污染风险与应急措施检查"/>
      <w:bookmarkEnd w:id="102"/>
      <w:bookmarkStart w:id="103" w:name="_bookmark35"/>
      <w:bookmarkEnd w:id="103"/>
      <w:bookmarkStart w:id="104" w:name="_Toc50707441"/>
      <w:r>
        <w:rPr>
          <w:rFonts w:hint="eastAsia" w:ascii="Times New Roman" w:hAnsi="Times New Roman" w:eastAsia="宋体"/>
          <w:b/>
          <w:szCs w:val="30"/>
        </w:rPr>
        <w:t>8</w:t>
      </w:r>
      <w:r>
        <w:rPr>
          <w:rFonts w:ascii="Times New Roman" w:hAnsi="Times New Roman" w:eastAsia="宋体"/>
          <w:b/>
          <w:szCs w:val="30"/>
        </w:rPr>
        <w:t>.3 环境污染风险与应急措施检查</w:t>
      </w:r>
      <w:bookmarkEnd w:id="104"/>
    </w:p>
    <w:p>
      <w:pPr>
        <w:snapToGrid w:val="0"/>
        <w:spacing w:line="360" w:lineRule="auto"/>
        <w:ind w:firstLine="480" w:firstLineChars="200"/>
        <w:rPr>
          <w:sz w:val="24"/>
        </w:rPr>
      </w:pPr>
      <w:r>
        <w:rPr>
          <w:sz w:val="24"/>
        </w:rPr>
        <w:t>公司为确保在事件发生后能够在最短的时间内做出最快、最准确、最有效的工作安排、人员调动、事件处理、将损失降到最小程度，制定了《突发环境事件应急预案》(详见附件)，并按应急预案中的要求组建指挥机构，明确各成员职责，尽力降低或减少各风险的存在。同时该《突发环境事件应急预案》已通过专家评审并在</w:t>
      </w:r>
      <w:r>
        <w:rPr>
          <w:rFonts w:hint="eastAsia"/>
          <w:sz w:val="24"/>
        </w:rPr>
        <w:t>生态环境</w:t>
      </w:r>
      <w:r>
        <w:rPr>
          <w:sz w:val="24"/>
        </w:rPr>
        <w:t>行政部门予以备案。</w:t>
      </w:r>
    </w:p>
    <w:p>
      <w:pPr>
        <w:pStyle w:val="5"/>
        <w:spacing w:before="120" w:after="120"/>
        <w:rPr>
          <w:rFonts w:ascii="Times New Roman" w:hAnsi="Times New Roman" w:eastAsia="宋体"/>
          <w:b/>
          <w:szCs w:val="30"/>
        </w:rPr>
      </w:pPr>
      <w:bookmarkStart w:id="105" w:name="8.4环保设施运行检查"/>
      <w:bookmarkEnd w:id="105"/>
      <w:bookmarkStart w:id="106" w:name="_bookmark36"/>
      <w:bookmarkEnd w:id="106"/>
      <w:bookmarkStart w:id="107" w:name="_Toc50707442"/>
      <w:r>
        <w:rPr>
          <w:rFonts w:hint="eastAsia" w:ascii="Times New Roman" w:hAnsi="Times New Roman" w:eastAsia="宋体"/>
          <w:b/>
          <w:szCs w:val="30"/>
        </w:rPr>
        <w:t>8</w:t>
      </w:r>
      <w:r>
        <w:rPr>
          <w:rFonts w:ascii="Times New Roman" w:hAnsi="Times New Roman" w:eastAsia="宋体"/>
          <w:b/>
          <w:szCs w:val="30"/>
        </w:rPr>
        <w:t>.4 环保设施运行检查</w:t>
      </w:r>
      <w:bookmarkEnd w:id="107"/>
    </w:p>
    <w:p>
      <w:pPr>
        <w:snapToGrid w:val="0"/>
        <w:spacing w:line="360" w:lineRule="auto"/>
        <w:ind w:firstLine="480" w:firstLineChars="200"/>
        <w:rPr>
          <w:sz w:val="24"/>
        </w:rPr>
      </w:pPr>
      <w:r>
        <w:rPr>
          <w:sz w:val="24"/>
        </w:rPr>
        <w:t>公司目前由</w:t>
      </w:r>
      <w:r>
        <w:rPr>
          <w:rFonts w:hint="eastAsia"/>
          <w:sz w:val="24"/>
        </w:rPr>
        <w:t>安环部</w:t>
      </w:r>
      <w:r>
        <w:rPr>
          <w:sz w:val="24"/>
        </w:rPr>
        <w:t>负责</w:t>
      </w:r>
      <w:r>
        <w:rPr>
          <w:rFonts w:hint="eastAsia"/>
          <w:sz w:val="24"/>
        </w:rPr>
        <w:t>全公司污染防治</w:t>
      </w:r>
      <w:r>
        <w:rPr>
          <w:sz w:val="24"/>
        </w:rPr>
        <w:t>措施运行，</w:t>
      </w:r>
      <w:r>
        <w:rPr>
          <w:rFonts w:hint="eastAsia"/>
          <w:sz w:val="24"/>
        </w:rPr>
        <w:t>确保污染</w:t>
      </w:r>
      <w:r>
        <w:rPr>
          <w:sz w:val="24"/>
        </w:rPr>
        <w:t>防治措施正常运行。</w:t>
      </w:r>
    </w:p>
    <w:p>
      <w:pPr>
        <w:pStyle w:val="4"/>
        <w:spacing w:before="120" w:after="120"/>
        <w:jc w:val="center"/>
        <w:rPr>
          <w:rFonts w:eastAsia="宋体"/>
        </w:rPr>
      </w:pPr>
      <w:bookmarkStart w:id="108" w:name="8.5固体废物处理处置检查"/>
      <w:bookmarkEnd w:id="108"/>
      <w:bookmarkStart w:id="109" w:name="_bookmark37"/>
      <w:bookmarkEnd w:id="109"/>
      <w:bookmarkStart w:id="110" w:name="_Toc50707443"/>
      <w:r>
        <w:rPr>
          <w:rFonts w:eastAsia="宋体"/>
        </w:rPr>
        <w:t>9 结论与建议</w:t>
      </w:r>
      <w:bookmarkEnd w:id="110"/>
    </w:p>
    <w:p>
      <w:pPr>
        <w:pStyle w:val="5"/>
        <w:spacing w:before="120" w:after="120"/>
        <w:rPr>
          <w:rFonts w:ascii="Times New Roman" w:hAnsi="Times New Roman" w:eastAsia="宋体"/>
          <w:b/>
          <w:szCs w:val="30"/>
        </w:rPr>
      </w:pPr>
      <w:bookmarkStart w:id="111" w:name="10.1_工程概况"/>
      <w:bookmarkEnd w:id="111"/>
      <w:bookmarkStart w:id="112" w:name="_bookmark42"/>
      <w:bookmarkEnd w:id="112"/>
      <w:bookmarkStart w:id="113" w:name="_Toc50707444"/>
      <w:r>
        <w:rPr>
          <w:rFonts w:ascii="Times New Roman" w:hAnsi="Times New Roman" w:eastAsia="宋体"/>
          <w:b/>
          <w:szCs w:val="30"/>
        </w:rPr>
        <w:t>9.1验收结论</w:t>
      </w:r>
      <w:bookmarkEnd w:id="113"/>
    </w:p>
    <w:p>
      <w:pPr>
        <w:pStyle w:val="6"/>
      </w:pPr>
      <w:bookmarkStart w:id="114" w:name="_Toc50707445"/>
      <w:r>
        <w:t>污染源排放监测结论</w:t>
      </w:r>
      <w:bookmarkEnd w:id="114"/>
    </w:p>
    <w:p>
      <w:pPr>
        <w:snapToGrid w:val="0"/>
        <w:spacing w:line="360" w:lineRule="auto"/>
        <w:ind w:firstLine="480" w:firstLineChars="200"/>
        <w:rPr>
          <w:sz w:val="24"/>
        </w:rPr>
      </w:pPr>
      <w:r>
        <w:rPr>
          <w:sz w:val="24"/>
        </w:rPr>
        <w:t>验收监测严格按照环评及其批复文件的结论与建议执行。项目严格按照“三同时”制度进行建设和试生产。</w:t>
      </w:r>
    </w:p>
    <w:p>
      <w:pPr>
        <w:snapToGrid w:val="0"/>
        <w:spacing w:line="360" w:lineRule="auto"/>
        <w:ind w:firstLine="480" w:firstLineChars="200"/>
        <w:rPr>
          <w:sz w:val="24"/>
        </w:rPr>
      </w:pPr>
      <w:r>
        <w:rPr>
          <w:sz w:val="24"/>
        </w:rPr>
        <w:t>本次验收报告是</w:t>
      </w:r>
      <w:r>
        <w:rPr>
          <w:rFonts w:ascii="Times New Roman" w:hAnsi="Times New Roman" w:eastAsia="宋体" w:cs="Times New Roman"/>
          <w:sz w:val="24"/>
        </w:rPr>
        <w:t>针对 20</w:t>
      </w:r>
      <w:r>
        <w:rPr>
          <w:rFonts w:hint="eastAsia" w:ascii="Times New Roman" w:hAnsi="Times New Roman" w:eastAsia="宋体" w:cs="Times New Roman"/>
          <w:sz w:val="24"/>
          <w:lang w:val="en-US" w:eastAsia="zh-CN"/>
        </w:rPr>
        <w:t>22</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10</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11</w:t>
      </w:r>
      <w:r>
        <w:rPr>
          <w:rFonts w:ascii="Times New Roman" w:hAnsi="Times New Roman" w:eastAsia="宋体" w:cs="Times New Roman"/>
          <w:sz w:val="24"/>
        </w:rPr>
        <w:t>日～20</w:t>
      </w:r>
      <w:r>
        <w:rPr>
          <w:rFonts w:hint="eastAsia" w:ascii="Times New Roman" w:hAnsi="Times New Roman" w:eastAsia="宋体" w:cs="Times New Roman"/>
          <w:sz w:val="24"/>
          <w:lang w:val="en-US" w:eastAsia="zh-CN"/>
        </w:rPr>
        <w:t>22</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10</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12</w:t>
      </w:r>
      <w:r>
        <w:rPr>
          <w:rFonts w:ascii="Times New Roman" w:hAnsi="Times New Roman" w:eastAsia="宋体" w:cs="Times New Roman"/>
          <w:sz w:val="24"/>
        </w:rPr>
        <w:t>日的生产及</w:t>
      </w:r>
      <w:r>
        <w:rPr>
          <w:sz w:val="24"/>
        </w:rPr>
        <w:t>环境条件下开展验收监测所得出的结论。验收监测期间，本项目生产负荷达到要求，满足验收监测要求。</w:t>
      </w:r>
    </w:p>
    <w:p>
      <w:pPr>
        <w:spacing w:line="500" w:lineRule="exact"/>
        <w:ind w:firstLine="562" w:firstLineChars="200"/>
        <w:rPr>
          <w:b/>
          <w:bCs/>
          <w:sz w:val="28"/>
          <w:szCs w:val="32"/>
        </w:rPr>
      </w:pPr>
      <w:r>
        <w:rPr>
          <w:b/>
          <w:bCs/>
          <w:sz w:val="28"/>
          <w:szCs w:val="32"/>
        </w:rPr>
        <w:t>监测结论</w:t>
      </w:r>
    </w:p>
    <w:p>
      <w:pPr>
        <w:snapToGrid w:val="0"/>
        <w:spacing w:line="360" w:lineRule="auto"/>
        <w:ind w:firstLine="480" w:firstLineChars="200"/>
        <w:rPr>
          <w:sz w:val="24"/>
        </w:rPr>
      </w:pPr>
      <w:r>
        <w:rPr>
          <w:sz w:val="24"/>
        </w:rPr>
        <w:t>在监测期间，</w:t>
      </w:r>
      <w:r>
        <w:rPr>
          <w:rFonts w:hint="eastAsia"/>
          <w:sz w:val="24"/>
        </w:rPr>
        <w:t>项目大气污染物排放</w:t>
      </w:r>
      <w:r>
        <w:rPr>
          <w:rFonts w:hint="eastAsia"/>
          <w:sz w:val="24"/>
          <w:lang w:eastAsia="zh-CN"/>
        </w:rPr>
        <w:t>达到</w:t>
      </w:r>
      <w:r>
        <w:rPr>
          <w:rFonts w:hint="eastAsia"/>
          <w:sz w:val="24"/>
        </w:rPr>
        <w:t>《大气污染物综合排放标准》（</w:t>
      </w:r>
      <w:r>
        <w:rPr>
          <w:sz w:val="24"/>
        </w:rPr>
        <w:t>GB16297-1996</w:t>
      </w:r>
      <w:r>
        <w:rPr>
          <w:rFonts w:hint="eastAsia"/>
          <w:sz w:val="24"/>
        </w:rPr>
        <w:t>）二级标准</w:t>
      </w:r>
      <w:r>
        <w:rPr>
          <w:sz w:val="24"/>
        </w:rPr>
        <w:t>;</w:t>
      </w:r>
    </w:p>
    <w:p>
      <w:pPr>
        <w:snapToGrid w:val="0"/>
        <w:spacing w:line="360" w:lineRule="auto"/>
        <w:ind w:firstLine="480" w:firstLineChars="200"/>
        <w:rPr>
          <w:sz w:val="24"/>
        </w:rPr>
      </w:pPr>
      <w:r>
        <w:rPr>
          <w:sz w:val="24"/>
        </w:rPr>
        <w:t>废水监测中，</w:t>
      </w:r>
      <w:r>
        <w:rPr>
          <w:rFonts w:hint="eastAsia"/>
          <w:sz w:val="24"/>
        </w:rPr>
        <w:t>均处理达《污水综合排放标准》（</w:t>
      </w:r>
      <w:r>
        <w:rPr>
          <w:sz w:val="24"/>
        </w:rPr>
        <w:t>GB8978-1996</w:t>
      </w:r>
      <w:r>
        <w:rPr>
          <w:rFonts w:hint="eastAsia"/>
          <w:sz w:val="24"/>
        </w:rPr>
        <w:t>）中的三级标准、《污水排入城镇下水道水质标准》（</w:t>
      </w:r>
      <w:r>
        <w:rPr>
          <w:sz w:val="24"/>
        </w:rPr>
        <w:t>GB/T31962-2015</w:t>
      </w:r>
      <w:r>
        <w:rPr>
          <w:rFonts w:hint="eastAsia"/>
          <w:sz w:val="24"/>
        </w:rPr>
        <w:t>）B级标准及园区污水处理厂进水水质（氟化物＜1</w:t>
      </w:r>
      <w:r>
        <w:rPr>
          <w:sz w:val="24"/>
        </w:rPr>
        <w:t>0</w:t>
      </w:r>
      <w:r>
        <w:rPr>
          <w:rFonts w:hint="eastAsia"/>
          <w:sz w:val="24"/>
        </w:rPr>
        <w:t>mg</w:t>
      </w:r>
      <w:r>
        <w:rPr>
          <w:sz w:val="24"/>
        </w:rPr>
        <w:t>/L</w:t>
      </w:r>
      <w:r>
        <w:rPr>
          <w:rFonts w:hint="eastAsia"/>
          <w:sz w:val="24"/>
        </w:rPr>
        <w:t>）要求</w:t>
      </w:r>
      <w:r>
        <w:rPr>
          <w:sz w:val="24"/>
        </w:rPr>
        <w:t>;</w:t>
      </w:r>
    </w:p>
    <w:p>
      <w:pPr>
        <w:snapToGrid w:val="0"/>
        <w:spacing w:line="360" w:lineRule="auto"/>
        <w:ind w:firstLine="480" w:firstLineChars="200"/>
        <w:rPr>
          <w:sz w:val="24"/>
        </w:rPr>
      </w:pPr>
      <w:r>
        <w:rPr>
          <w:sz w:val="24"/>
        </w:rPr>
        <w:t>噪声监测中，厂界噪声各监测点位昼夜间噪声值均满足《工业企业厂界环境噪声排放标准》(GB 12348-2008)表1中3类标准限值要求。</w:t>
      </w:r>
    </w:p>
    <w:p>
      <w:pPr>
        <w:pStyle w:val="6"/>
      </w:pPr>
      <w:bookmarkStart w:id="115" w:name="_Toc50707446"/>
      <w:r>
        <w:t>污染源排放调查结论</w:t>
      </w:r>
      <w:bookmarkEnd w:id="115"/>
    </w:p>
    <w:p>
      <w:pPr>
        <w:snapToGrid w:val="0"/>
        <w:spacing w:line="360" w:lineRule="auto"/>
        <w:ind w:firstLine="480" w:firstLineChars="200"/>
        <w:rPr>
          <w:sz w:val="24"/>
        </w:rPr>
      </w:pPr>
      <w:r>
        <w:rPr>
          <w:sz w:val="24"/>
        </w:rPr>
        <w:t>1、废水</w:t>
      </w:r>
    </w:p>
    <w:p>
      <w:pPr>
        <w:snapToGrid w:val="0"/>
        <w:spacing w:line="360" w:lineRule="auto"/>
        <w:ind w:firstLine="480" w:firstLineChars="200"/>
        <w:rPr>
          <w:sz w:val="24"/>
        </w:rPr>
      </w:pPr>
      <w:r>
        <w:rPr>
          <w:sz w:val="24"/>
        </w:rPr>
        <w:t>项目</w:t>
      </w:r>
      <w:r>
        <w:rPr>
          <w:rFonts w:hint="eastAsia"/>
          <w:sz w:val="24"/>
        </w:rPr>
        <w:t>废水依托</w:t>
      </w:r>
      <w:r>
        <w:rPr>
          <w:sz w:val="24"/>
        </w:rPr>
        <w:t>已建</w:t>
      </w:r>
      <w:r>
        <w:rPr>
          <w:kern w:val="0"/>
          <w:sz w:val="24"/>
        </w:rPr>
        <w:t>厂区综合废水处理站</w:t>
      </w:r>
      <w:r>
        <w:rPr>
          <w:rFonts w:hint="eastAsia"/>
          <w:kern w:val="0"/>
          <w:sz w:val="24"/>
        </w:rPr>
        <w:t>处理</w:t>
      </w:r>
      <w:r>
        <w:rPr>
          <w:kern w:val="0"/>
          <w:sz w:val="24"/>
        </w:rPr>
        <w:t>达标后</w:t>
      </w:r>
      <w:r>
        <w:rPr>
          <w:rFonts w:hint="eastAsia"/>
          <w:kern w:val="0"/>
          <w:sz w:val="24"/>
        </w:rPr>
        <w:t>外排至</w:t>
      </w:r>
      <w:r>
        <w:rPr>
          <w:kern w:val="0"/>
          <w:sz w:val="24"/>
        </w:rPr>
        <w:t>园区污水处理厂</w:t>
      </w:r>
      <w:r>
        <w:rPr>
          <w:sz w:val="24"/>
        </w:rPr>
        <w:t>。</w:t>
      </w:r>
    </w:p>
    <w:p>
      <w:pPr>
        <w:snapToGrid w:val="0"/>
        <w:spacing w:line="360" w:lineRule="auto"/>
        <w:ind w:firstLine="480" w:firstLineChars="200"/>
        <w:rPr>
          <w:sz w:val="24"/>
        </w:rPr>
      </w:pPr>
      <w:r>
        <w:rPr>
          <w:sz w:val="24"/>
        </w:rPr>
        <w:t>2、固废</w:t>
      </w:r>
    </w:p>
    <w:p>
      <w:pPr>
        <w:snapToGrid w:val="0"/>
        <w:spacing w:line="360" w:lineRule="auto"/>
        <w:ind w:firstLine="480" w:firstLineChars="200"/>
        <w:rPr>
          <w:sz w:val="24"/>
        </w:rPr>
      </w:pPr>
      <w:r>
        <w:rPr>
          <w:rFonts w:hint="eastAsia"/>
          <w:sz w:val="24"/>
        </w:rPr>
        <w:t>项目</w:t>
      </w:r>
      <w:r>
        <w:rPr>
          <w:sz w:val="24"/>
        </w:rPr>
        <w:t>一般固废</w:t>
      </w:r>
      <w:r>
        <w:rPr>
          <w:rFonts w:hint="eastAsia"/>
          <w:sz w:val="24"/>
        </w:rPr>
        <w:t>均</w:t>
      </w:r>
      <w:r>
        <w:rPr>
          <w:sz w:val="24"/>
        </w:rPr>
        <w:t>得到了妥善处置</w:t>
      </w:r>
      <w:r>
        <w:rPr>
          <w:rFonts w:hint="eastAsia"/>
          <w:sz w:val="24"/>
          <w:lang w:eastAsia="zh-CN"/>
        </w:rPr>
        <w:t>，项目产生的危废交由有资质单位处置</w:t>
      </w:r>
      <w:r>
        <w:rPr>
          <w:sz w:val="24"/>
        </w:rPr>
        <w:t>。</w:t>
      </w:r>
    </w:p>
    <w:p>
      <w:pPr>
        <w:pStyle w:val="6"/>
      </w:pPr>
      <w:bookmarkStart w:id="116" w:name="_Toc50707447"/>
      <w:r>
        <w:t>环境管理检查</w:t>
      </w:r>
      <w:bookmarkEnd w:id="116"/>
    </w:p>
    <w:p>
      <w:pPr>
        <w:snapToGrid w:val="0"/>
        <w:spacing w:line="360" w:lineRule="auto"/>
        <w:ind w:firstLine="480" w:firstLineChars="200"/>
        <w:rPr>
          <w:sz w:val="24"/>
        </w:rPr>
      </w:pPr>
      <w:r>
        <w:rPr>
          <w:sz w:val="24"/>
        </w:rPr>
        <w:t>本项目从开工到运行履行了环保手续，执行各项环保法律、法规，做到了“三同时” 制度。公司建立了环境管理体系，成立了环保组织机构，将环保工作纳入日常生产当中，在生产全过程建立了环境管理制度。</w:t>
      </w:r>
    </w:p>
    <w:p>
      <w:pPr>
        <w:pStyle w:val="6"/>
      </w:pPr>
      <w:bookmarkStart w:id="117" w:name="_Toc50707448"/>
      <w:r>
        <w:t>综合结论</w:t>
      </w:r>
      <w:bookmarkEnd w:id="117"/>
    </w:p>
    <w:p>
      <w:pPr>
        <w:autoSpaceDE w:val="0"/>
        <w:autoSpaceDN w:val="0"/>
        <w:spacing w:before="135" w:line="357" w:lineRule="auto"/>
        <w:ind w:left="118" w:right="158" w:firstLine="540"/>
        <w:rPr>
          <w:rFonts w:ascii="黑体" w:hAnsi="黑体" w:eastAsia="黑体" w:cs="宋体"/>
          <w:kern w:val="0"/>
          <w:sz w:val="28"/>
          <w:szCs w:val="28"/>
        </w:rPr>
      </w:pPr>
      <w:r>
        <w:rPr>
          <w:rFonts w:hint="eastAsia" w:ascii="黑体" w:hAnsi="黑体" w:eastAsia="黑体" w:cs="宋体"/>
          <w:spacing w:val="-6"/>
          <w:kern w:val="0"/>
          <w:sz w:val="28"/>
          <w:szCs w:val="28"/>
        </w:rPr>
        <w:t>根据以上结果分析，项目较好地执行了建设项目环境影响评价制度、环境保护“三同时”制度、竣工环境保护验收制度，在设计、施工、试营运期采取了许多行之有效的污染防治和生态保护措施，项目环境影响报告书和工程设计提出的主要环境保护措施与建议、各级环保行政主管部门对该工程环境影响报告书的批复要求均得到了较好的落实和执行，在工程建设期间和试营运期间未造成重大环境影响。项目总体上符合工程竣工环境保护验收条件。</w:t>
      </w:r>
    </w:p>
    <w:p>
      <w:pPr>
        <w:pStyle w:val="5"/>
        <w:spacing w:before="120" w:after="120"/>
        <w:rPr>
          <w:rFonts w:ascii="Times New Roman" w:hAnsi="Times New Roman" w:eastAsia="宋体"/>
          <w:b/>
          <w:szCs w:val="30"/>
        </w:rPr>
      </w:pPr>
      <w:bookmarkStart w:id="118" w:name="10.3_主要建议"/>
      <w:bookmarkEnd w:id="118"/>
      <w:bookmarkStart w:id="119" w:name="_bookmark44"/>
      <w:bookmarkEnd w:id="119"/>
      <w:bookmarkStart w:id="120" w:name="_Toc50707449"/>
      <w:r>
        <w:rPr>
          <w:rFonts w:hint="eastAsia" w:ascii="Times New Roman" w:hAnsi="Times New Roman" w:eastAsia="宋体"/>
          <w:b/>
          <w:szCs w:val="30"/>
        </w:rPr>
        <w:t>9</w:t>
      </w:r>
      <w:r>
        <w:rPr>
          <w:rFonts w:ascii="Times New Roman" w:hAnsi="Times New Roman" w:eastAsia="宋体"/>
          <w:b/>
          <w:szCs w:val="30"/>
        </w:rPr>
        <w:t>.2主要建议</w:t>
      </w:r>
      <w:bookmarkEnd w:id="120"/>
    </w:p>
    <w:p>
      <w:pPr>
        <w:snapToGrid w:val="0"/>
        <w:spacing w:line="360" w:lineRule="auto"/>
        <w:ind w:firstLine="480" w:firstLineChars="200"/>
        <w:rPr>
          <w:sz w:val="24"/>
        </w:rPr>
      </w:pPr>
      <w:r>
        <w:rPr>
          <w:sz w:val="24"/>
        </w:rPr>
        <w:t>1</w:t>
      </w:r>
      <w:r>
        <w:rPr>
          <w:rFonts w:hint="eastAsia"/>
          <w:sz w:val="24"/>
        </w:rPr>
        <w:t>. 严格执行环保管理制度及专人负责制度，加强对环保设施运行情况的管理与检查，确保污染物长期、稳定达标排放。</w:t>
      </w:r>
    </w:p>
    <w:p>
      <w:pPr>
        <w:snapToGrid w:val="0"/>
        <w:spacing w:line="360" w:lineRule="auto"/>
        <w:ind w:firstLine="480" w:firstLineChars="200"/>
        <w:rPr>
          <w:sz w:val="24"/>
        </w:rPr>
      </w:pPr>
      <w:r>
        <w:rPr>
          <w:sz w:val="24"/>
        </w:rPr>
        <w:t>2</w:t>
      </w:r>
      <w:r>
        <w:rPr>
          <w:rFonts w:hint="eastAsia"/>
          <w:sz w:val="24"/>
        </w:rPr>
        <w:t>. 认真落实各项事故应急处理措施，避免污染事故的发生。</w:t>
      </w:r>
    </w:p>
    <w:p>
      <w:pPr>
        <w:snapToGrid w:val="0"/>
        <w:spacing w:line="360" w:lineRule="auto"/>
        <w:ind w:firstLine="480" w:firstLineChars="200"/>
        <w:rPr>
          <w:sz w:val="24"/>
        </w:rPr>
      </w:pPr>
    </w:p>
    <w:bookmarkEnd w:id="22"/>
    <w:bookmarkEnd w:id="36"/>
    <w:p>
      <w:pPr>
        <w:snapToGrid w:val="0"/>
        <w:spacing w:line="360" w:lineRule="auto"/>
        <w:ind w:firstLine="480" w:firstLineChars="200"/>
        <w:rPr>
          <w:sz w:val="24"/>
        </w:rPr>
      </w:pPr>
    </w:p>
    <w:sectPr>
      <w:pgSz w:w="11906" w:h="16838"/>
      <w:pgMar w:top="1089" w:right="1826" w:bottom="1440"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楷体">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宋三简体">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_GB2312">
    <w:altName w:val="Times New Roman"/>
    <w:panose1 w:val="00000000000000000000"/>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single" w:color="auto" w:sz="6" w:space="0"/>
      </w:pBdr>
      <w:tabs>
        <w:tab w:val="left" w:pos="7651"/>
        <w:tab w:val="clear" w:pos="8306"/>
      </w:tabs>
      <w:rPr>
        <w:u w:val="single"/>
      </w:rPr>
    </w:pPr>
    <w:r>
      <w:rPr>
        <w:rFonts w:hint="eastAsia"/>
        <w:szCs w:val="24"/>
      </w:rPr>
      <w:t>中昊晨光化工研究院有限公司</w:t>
    </w:r>
    <w:r>
      <w:rPr>
        <w:rFonts w:hint="eastAsia"/>
      </w:rPr>
      <w:t>关键材料技术自主化能力</w:t>
    </w:r>
    <w:r>
      <w:t>建设项目</w:t>
    </w:r>
    <w:r>
      <w:rPr>
        <w:rFonts w:hint="eastAsia"/>
      </w:rP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left"/>
    </w:pPr>
    <w:r>
      <w:rPr>
        <w:rFonts w:hint="eastAsia"/>
      </w:rPr>
      <w:t>四川甲乙环境检测有限公司甲乙检测（2020）第03047W号第3页共6页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single" w:color="auto" w:sz="6" w:space="0"/>
      </w:pBdr>
      <w:tabs>
        <w:tab w:val="left" w:pos="7651"/>
        <w:tab w:val="clear" w:pos="8306"/>
      </w:tabs>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01DF8"/>
    <w:multiLevelType w:val="singleLevel"/>
    <w:tmpl w:val="AC001DF8"/>
    <w:lvl w:ilvl="0" w:tentative="0">
      <w:start w:val="2"/>
      <w:numFmt w:val="decimal"/>
      <w:lvlText w:val="%1."/>
      <w:lvlJc w:val="left"/>
      <w:pPr>
        <w:tabs>
          <w:tab w:val="left" w:pos="312"/>
        </w:tabs>
      </w:pPr>
    </w:lvl>
  </w:abstractNum>
  <w:abstractNum w:abstractNumId="1">
    <w:nsid w:val="03CF53E1"/>
    <w:multiLevelType w:val="multilevel"/>
    <w:tmpl w:val="03CF53E1"/>
    <w:lvl w:ilvl="0" w:tentative="0">
      <w:start w:val="1"/>
      <w:numFmt w:val="decimal"/>
      <w:pStyle w:val="126"/>
      <w:lvlText w:val="表1-%1"/>
      <w:lvlJc w:val="left"/>
      <w:pPr>
        <w:tabs>
          <w:tab w:val="left" w:pos="851"/>
        </w:tabs>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6B810809"/>
    <w:multiLevelType w:val="multilevel"/>
    <w:tmpl w:val="6B810809"/>
    <w:lvl w:ilvl="0" w:tentative="0">
      <w:start w:val="1"/>
      <w:numFmt w:val="decimal"/>
      <w:pStyle w:val="123"/>
      <w:lvlText w:val="表3-%1"/>
      <w:lvlJc w:val="left"/>
      <w:pPr>
        <w:ind w:left="4530" w:hanging="42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wZDlmYzIxZTgzN2Q3NTdjNmI1OTNlYjlmNGYyZjMifQ=="/>
  </w:docVars>
  <w:rsids>
    <w:rsidRoot w:val="00172A27"/>
    <w:rsid w:val="000015F4"/>
    <w:rsid w:val="00003CDC"/>
    <w:rsid w:val="0000466B"/>
    <w:rsid w:val="00012C65"/>
    <w:rsid w:val="00013263"/>
    <w:rsid w:val="000151E7"/>
    <w:rsid w:val="000155BC"/>
    <w:rsid w:val="0001688F"/>
    <w:rsid w:val="00020C29"/>
    <w:rsid w:val="00021ECD"/>
    <w:rsid w:val="000234E1"/>
    <w:rsid w:val="000248C4"/>
    <w:rsid w:val="00025A18"/>
    <w:rsid w:val="0002688E"/>
    <w:rsid w:val="00026F46"/>
    <w:rsid w:val="00030D15"/>
    <w:rsid w:val="00031E26"/>
    <w:rsid w:val="00031F82"/>
    <w:rsid w:val="00036635"/>
    <w:rsid w:val="00040779"/>
    <w:rsid w:val="00042523"/>
    <w:rsid w:val="00043106"/>
    <w:rsid w:val="0004418B"/>
    <w:rsid w:val="00046F93"/>
    <w:rsid w:val="000513A5"/>
    <w:rsid w:val="0005482C"/>
    <w:rsid w:val="00056148"/>
    <w:rsid w:val="00056CD0"/>
    <w:rsid w:val="000640DC"/>
    <w:rsid w:val="000648FD"/>
    <w:rsid w:val="00067C76"/>
    <w:rsid w:val="0007172C"/>
    <w:rsid w:val="00073B5E"/>
    <w:rsid w:val="00074FE6"/>
    <w:rsid w:val="00077EA7"/>
    <w:rsid w:val="00081A9F"/>
    <w:rsid w:val="0008355A"/>
    <w:rsid w:val="00084311"/>
    <w:rsid w:val="00086828"/>
    <w:rsid w:val="000923F5"/>
    <w:rsid w:val="0009619B"/>
    <w:rsid w:val="000A00AF"/>
    <w:rsid w:val="000A644D"/>
    <w:rsid w:val="000B021B"/>
    <w:rsid w:val="000B029C"/>
    <w:rsid w:val="000B3B34"/>
    <w:rsid w:val="000B7D82"/>
    <w:rsid w:val="000C3C13"/>
    <w:rsid w:val="000C5C32"/>
    <w:rsid w:val="000C6D81"/>
    <w:rsid w:val="000D1C09"/>
    <w:rsid w:val="000D6201"/>
    <w:rsid w:val="000D6D82"/>
    <w:rsid w:val="000D7118"/>
    <w:rsid w:val="000E2078"/>
    <w:rsid w:val="000E23D9"/>
    <w:rsid w:val="000E6C3E"/>
    <w:rsid w:val="000E78F6"/>
    <w:rsid w:val="001003A4"/>
    <w:rsid w:val="00106945"/>
    <w:rsid w:val="00111504"/>
    <w:rsid w:val="00111960"/>
    <w:rsid w:val="00112125"/>
    <w:rsid w:val="001163B5"/>
    <w:rsid w:val="0011749D"/>
    <w:rsid w:val="001178AF"/>
    <w:rsid w:val="001178C7"/>
    <w:rsid w:val="0012359E"/>
    <w:rsid w:val="00127D14"/>
    <w:rsid w:val="001334B0"/>
    <w:rsid w:val="001340FB"/>
    <w:rsid w:val="00136B63"/>
    <w:rsid w:val="00136CC9"/>
    <w:rsid w:val="00136F26"/>
    <w:rsid w:val="001409EC"/>
    <w:rsid w:val="00140DEF"/>
    <w:rsid w:val="0014208F"/>
    <w:rsid w:val="001421AD"/>
    <w:rsid w:val="00142EDB"/>
    <w:rsid w:val="00144CA7"/>
    <w:rsid w:val="00145DC4"/>
    <w:rsid w:val="00146179"/>
    <w:rsid w:val="00150255"/>
    <w:rsid w:val="00152B43"/>
    <w:rsid w:val="001629BB"/>
    <w:rsid w:val="00163669"/>
    <w:rsid w:val="001676B5"/>
    <w:rsid w:val="00172A27"/>
    <w:rsid w:val="001738EA"/>
    <w:rsid w:val="00175FDE"/>
    <w:rsid w:val="00177C90"/>
    <w:rsid w:val="00183E88"/>
    <w:rsid w:val="00184E0C"/>
    <w:rsid w:val="001902F2"/>
    <w:rsid w:val="00191D3D"/>
    <w:rsid w:val="001948D8"/>
    <w:rsid w:val="00197CB7"/>
    <w:rsid w:val="001A7892"/>
    <w:rsid w:val="001B01AA"/>
    <w:rsid w:val="001B26C4"/>
    <w:rsid w:val="001B5300"/>
    <w:rsid w:val="001C0959"/>
    <w:rsid w:val="001C320D"/>
    <w:rsid w:val="001C39AF"/>
    <w:rsid w:val="001C44AF"/>
    <w:rsid w:val="001C70AB"/>
    <w:rsid w:val="001C7163"/>
    <w:rsid w:val="001C7363"/>
    <w:rsid w:val="001C76E1"/>
    <w:rsid w:val="001D54C3"/>
    <w:rsid w:val="001D5723"/>
    <w:rsid w:val="001E6AC7"/>
    <w:rsid w:val="001E71BB"/>
    <w:rsid w:val="001F342E"/>
    <w:rsid w:val="001F6FE3"/>
    <w:rsid w:val="002129A1"/>
    <w:rsid w:val="0021390A"/>
    <w:rsid w:val="00215E07"/>
    <w:rsid w:val="00217AF1"/>
    <w:rsid w:val="002208FE"/>
    <w:rsid w:val="00223541"/>
    <w:rsid w:val="0022692A"/>
    <w:rsid w:val="00231D89"/>
    <w:rsid w:val="00232B3C"/>
    <w:rsid w:val="0023457D"/>
    <w:rsid w:val="0023463C"/>
    <w:rsid w:val="00236055"/>
    <w:rsid w:val="00237247"/>
    <w:rsid w:val="002422FA"/>
    <w:rsid w:val="00244DD8"/>
    <w:rsid w:val="002453D8"/>
    <w:rsid w:val="00246994"/>
    <w:rsid w:val="00247628"/>
    <w:rsid w:val="00250455"/>
    <w:rsid w:val="00250B8C"/>
    <w:rsid w:val="00255C45"/>
    <w:rsid w:val="002630E4"/>
    <w:rsid w:val="00263BAE"/>
    <w:rsid w:val="00272120"/>
    <w:rsid w:val="00272A0F"/>
    <w:rsid w:val="002741D2"/>
    <w:rsid w:val="00275CE2"/>
    <w:rsid w:val="002800BA"/>
    <w:rsid w:val="002841B8"/>
    <w:rsid w:val="00287ED9"/>
    <w:rsid w:val="00292F9E"/>
    <w:rsid w:val="002942F0"/>
    <w:rsid w:val="00295E8B"/>
    <w:rsid w:val="00296D65"/>
    <w:rsid w:val="00297449"/>
    <w:rsid w:val="002A4FFD"/>
    <w:rsid w:val="002A5321"/>
    <w:rsid w:val="002A7A8D"/>
    <w:rsid w:val="002A7ACD"/>
    <w:rsid w:val="002B5717"/>
    <w:rsid w:val="002C1361"/>
    <w:rsid w:val="002C6045"/>
    <w:rsid w:val="002C728C"/>
    <w:rsid w:val="002C7809"/>
    <w:rsid w:val="002D0C93"/>
    <w:rsid w:val="002D2178"/>
    <w:rsid w:val="002D2241"/>
    <w:rsid w:val="002D556A"/>
    <w:rsid w:val="002D5F27"/>
    <w:rsid w:val="002D6010"/>
    <w:rsid w:val="002D772A"/>
    <w:rsid w:val="002E478C"/>
    <w:rsid w:val="002F17C3"/>
    <w:rsid w:val="002F2FC0"/>
    <w:rsid w:val="002F3120"/>
    <w:rsid w:val="003008E2"/>
    <w:rsid w:val="003021B2"/>
    <w:rsid w:val="003031DF"/>
    <w:rsid w:val="00306280"/>
    <w:rsid w:val="00313734"/>
    <w:rsid w:val="003149A1"/>
    <w:rsid w:val="00316346"/>
    <w:rsid w:val="003219A1"/>
    <w:rsid w:val="00327236"/>
    <w:rsid w:val="003309E1"/>
    <w:rsid w:val="0033221B"/>
    <w:rsid w:val="00332E3A"/>
    <w:rsid w:val="00332FB6"/>
    <w:rsid w:val="003425C4"/>
    <w:rsid w:val="0034273E"/>
    <w:rsid w:val="0035335C"/>
    <w:rsid w:val="00355521"/>
    <w:rsid w:val="00356E1D"/>
    <w:rsid w:val="00361458"/>
    <w:rsid w:val="00361B33"/>
    <w:rsid w:val="00363193"/>
    <w:rsid w:val="0036548F"/>
    <w:rsid w:val="00367855"/>
    <w:rsid w:val="00370C0E"/>
    <w:rsid w:val="00371893"/>
    <w:rsid w:val="00371BA9"/>
    <w:rsid w:val="00373704"/>
    <w:rsid w:val="0037628E"/>
    <w:rsid w:val="0037677F"/>
    <w:rsid w:val="00383028"/>
    <w:rsid w:val="00384697"/>
    <w:rsid w:val="00386DD3"/>
    <w:rsid w:val="003879B7"/>
    <w:rsid w:val="003912BD"/>
    <w:rsid w:val="003A3C15"/>
    <w:rsid w:val="003A6C12"/>
    <w:rsid w:val="003A6E5A"/>
    <w:rsid w:val="003B25F3"/>
    <w:rsid w:val="003B5889"/>
    <w:rsid w:val="003C1A2C"/>
    <w:rsid w:val="003C2016"/>
    <w:rsid w:val="003C4242"/>
    <w:rsid w:val="003C7232"/>
    <w:rsid w:val="003D0CEB"/>
    <w:rsid w:val="003D1148"/>
    <w:rsid w:val="003D7B29"/>
    <w:rsid w:val="003E3142"/>
    <w:rsid w:val="003E3295"/>
    <w:rsid w:val="003E4724"/>
    <w:rsid w:val="003E76A3"/>
    <w:rsid w:val="003F01F5"/>
    <w:rsid w:val="003F2210"/>
    <w:rsid w:val="003F52C1"/>
    <w:rsid w:val="004013C9"/>
    <w:rsid w:val="00403585"/>
    <w:rsid w:val="00405B81"/>
    <w:rsid w:val="00407D09"/>
    <w:rsid w:val="004106E1"/>
    <w:rsid w:val="0041371E"/>
    <w:rsid w:val="00413F08"/>
    <w:rsid w:val="00426052"/>
    <w:rsid w:val="00427567"/>
    <w:rsid w:val="00427F21"/>
    <w:rsid w:val="00432C2A"/>
    <w:rsid w:val="00433FB3"/>
    <w:rsid w:val="0043404C"/>
    <w:rsid w:val="004349A8"/>
    <w:rsid w:val="00440993"/>
    <w:rsid w:val="00445AE8"/>
    <w:rsid w:val="00446AF4"/>
    <w:rsid w:val="00452F56"/>
    <w:rsid w:val="00460AE6"/>
    <w:rsid w:val="00461DAF"/>
    <w:rsid w:val="0046210B"/>
    <w:rsid w:val="00466EC0"/>
    <w:rsid w:val="00472C1A"/>
    <w:rsid w:val="004742EA"/>
    <w:rsid w:val="00477AA6"/>
    <w:rsid w:val="00477DD0"/>
    <w:rsid w:val="00483A3E"/>
    <w:rsid w:val="00485141"/>
    <w:rsid w:val="004860DB"/>
    <w:rsid w:val="004875B7"/>
    <w:rsid w:val="004900B5"/>
    <w:rsid w:val="0049298D"/>
    <w:rsid w:val="00495BB3"/>
    <w:rsid w:val="00495DA4"/>
    <w:rsid w:val="004A1160"/>
    <w:rsid w:val="004A162B"/>
    <w:rsid w:val="004A4669"/>
    <w:rsid w:val="004A4BF8"/>
    <w:rsid w:val="004B05FF"/>
    <w:rsid w:val="004B2E95"/>
    <w:rsid w:val="004B305D"/>
    <w:rsid w:val="004B3ED4"/>
    <w:rsid w:val="004B71F7"/>
    <w:rsid w:val="004C1360"/>
    <w:rsid w:val="004C2B79"/>
    <w:rsid w:val="004C436D"/>
    <w:rsid w:val="004C7769"/>
    <w:rsid w:val="004D0F85"/>
    <w:rsid w:val="004D1BA5"/>
    <w:rsid w:val="004D27AD"/>
    <w:rsid w:val="004D45FD"/>
    <w:rsid w:val="004E0DED"/>
    <w:rsid w:val="004E1DB0"/>
    <w:rsid w:val="004E7318"/>
    <w:rsid w:val="004F259F"/>
    <w:rsid w:val="004F4D3B"/>
    <w:rsid w:val="005051DC"/>
    <w:rsid w:val="00506184"/>
    <w:rsid w:val="005111DC"/>
    <w:rsid w:val="00516996"/>
    <w:rsid w:val="00525CEF"/>
    <w:rsid w:val="00526128"/>
    <w:rsid w:val="0053024E"/>
    <w:rsid w:val="005325CC"/>
    <w:rsid w:val="005353C0"/>
    <w:rsid w:val="005368A3"/>
    <w:rsid w:val="00536EEA"/>
    <w:rsid w:val="005370BB"/>
    <w:rsid w:val="00537F5E"/>
    <w:rsid w:val="0054356F"/>
    <w:rsid w:val="00543F2A"/>
    <w:rsid w:val="00545D3F"/>
    <w:rsid w:val="0055150F"/>
    <w:rsid w:val="00552440"/>
    <w:rsid w:val="005527CF"/>
    <w:rsid w:val="00552CE6"/>
    <w:rsid w:val="00560EF0"/>
    <w:rsid w:val="00562069"/>
    <w:rsid w:val="00563947"/>
    <w:rsid w:val="005649EC"/>
    <w:rsid w:val="00565184"/>
    <w:rsid w:val="00577C67"/>
    <w:rsid w:val="00581D68"/>
    <w:rsid w:val="00582FD3"/>
    <w:rsid w:val="00584A85"/>
    <w:rsid w:val="00584C13"/>
    <w:rsid w:val="00585B35"/>
    <w:rsid w:val="00586C43"/>
    <w:rsid w:val="005913FB"/>
    <w:rsid w:val="00593474"/>
    <w:rsid w:val="0059366D"/>
    <w:rsid w:val="00594EED"/>
    <w:rsid w:val="00597BB8"/>
    <w:rsid w:val="005A123A"/>
    <w:rsid w:val="005A177C"/>
    <w:rsid w:val="005A17A5"/>
    <w:rsid w:val="005B313C"/>
    <w:rsid w:val="005B40F8"/>
    <w:rsid w:val="005C2CBE"/>
    <w:rsid w:val="005C5287"/>
    <w:rsid w:val="005C71DB"/>
    <w:rsid w:val="005C7CA0"/>
    <w:rsid w:val="005D18BE"/>
    <w:rsid w:val="005D41F2"/>
    <w:rsid w:val="005E0423"/>
    <w:rsid w:val="005E7D6D"/>
    <w:rsid w:val="005F54C1"/>
    <w:rsid w:val="005F61B1"/>
    <w:rsid w:val="005F6A68"/>
    <w:rsid w:val="00600FB8"/>
    <w:rsid w:val="00602A36"/>
    <w:rsid w:val="00603983"/>
    <w:rsid w:val="006045EE"/>
    <w:rsid w:val="00604621"/>
    <w:rsid w:val="006070D6"/>
    <w:rsid w:val="006104CF"/>
    <w:rsid w:val="0062027A"/>
    <w:rsid w:val="00620505"/>
    <w:rsid w:val="00625194"/>
    <w:rsid w:val="0062534F"/>
    <w:rsid w:val="006319F0"/>
    <w:rsid w:val="00633638"/>
    <w:rsid w:val="006426C0"/>
    <w:rsid w:val="00645111"/>
    <w:rsid w:val="00645424"/>
    <w:rsid w:val="00654097"/>
    <w:rsid w:val="00655938"/>
    <w:rsid w:val="006677F2"/>
    <w:rsid w:val="006713C3"/>
    <w:rsid w:val="00674F10"/>
    <w:rsid w:val="00680B84"/>
    <w:rsid w:val="006813C2"/>
    <w:rsid w:val="00682475"/>
    <w:rsid w:val="0068448B"/>
    <w:rsid w:val="0068488F"/>
    <w:rsid w:val="00686858"/>
    <w:rsid w:val="00687320"/>
    <w:rsid w:val="006931F0"/>
    <w:rsid w:val="006950A7"/>
    <w:rsid w:val="006A0006"/>
    <w:rsid w:val="006B13FA"/>
    <w:rsid w:val="006B1DF9"/>
    <w:rsid w:val="006B2808"/>
    <w:rsid w:val="006B6A37"/>
    <w:rsid w:val="006C2D51"/>
    <w:rsid w:val="006C323A"/>
    <w:rsid w:val="006C77C0"/>
    <w:rsid w:val="006D261E"/>
    <w:rsid w:val="006D2BF4"/>
    <w:rsid w:val="006D3E74"/>
    <w:rsid w:val="006D4989"/>
    <w:rsid w:val="006D5B1A"/>
    <w:rsid w:val="006E0398"/>
    <w:rsid w:val="006E2987"/>
    <w:rsid w:val="006E4C52"/>
    <w:rsid w:val="006E6018"/>
    <w:rsid w:val="006E62BD"/>
    <w:rsid w:val="006E7001"/>
    <w:rsid w:val="006E7AE0"/>
    <w:rsid w:val="006F0A9E"/>
    <w:rsid w:val="006F7098"/>
    <w:rsid w:val="006F7E2B"/>
    <w:rsid w:val="00701B33"/>
    <w:rsid w:val="00706B43"/>
    <w:rsid w:val="00716FA1"/>
    <w:rsid w:val="00721195"/>
    <w:rsid w:val="00724C78"/>
    <w:rsid w:val="007258C9"/>
    <w:rsid w:val="00726933"/>
    <w:rsid w:val="007271F6"/>
    <w:rsid w:val="00727260"/>
    <w:rsid w:val="00734C3D"/>
    <w:rsid w:val="00736FE3"/>
    <w:rsid w:val="0074160D"/>
    <w:rsid w:val="00741CA6"/>
    <w:rsid w:val="00745A81"/>
    <w:rsid w:val="0075288E"/>
    <w:rsid w:val="00753171"/>
    <w:rsid w:val="007554DC"/>
    <w:rsid w:val="00756C90"/>
    <w:rsid w:val="007603AA"/>
    <w:rsid w:val="00764BBF"/>
    <w:rsid w:val="00766577"/>
    <w:rsid w:val="007676CB"/>
    <w:rsid w:val="00771F94"/>
    <w:rsid w:val="00773279"/>
    <w:rsid w:val="00780349"/>
    <w:rsid w:val="00781185"/>
    <w:rsid w:val="0078366A"/>
    <w:rsid w:val="00784B08"/>
    <w:rsid w:val="007864C1"/>
    <w:rsid w:val="007904A3"/>
    <w:rsid w:val="007908F7"/>
    <w:rsid w:val="00791B42"/>
    <w:rsid w:val="00791C50"/>
    <w:rsid w:val="00791D49"/>
    <w:rsid w:val="00792478"/>
    <w:rsid w:val="007929C7"/>
    <w:rsid w:val="0079510C"/>
    <w:rsid w:val="0079622B"/>
    <w:rsid w:val="0079735B"/>
    <w:rsid w:val="00797E3A"/>
    <w:rsid w:val="007A5A94"/>
    <w:rsid w:val="007A6DF2"/>
    <w:rsid w:val="007B016F"/>
    <w:rsid w:val="007B16E3"/>
    <w:rsid w:val="007B20EC"/>
    <w:rsid w:val="007B2BA9"/>
    <w:rsid w:val="007C017B"/>
    <w:rsid w:val="007C3FD7"/>
    <w:rsid w:val="007C4804"/>
    <w:rsid w:val="007C64D4"/>
    <w:rsid w:val="007D5833"/>
    <w:rsid w:val="007D5B20"/>
    <w:rsid w:val="007E0139"/>
    <w:rsid w:val="007E5744"/>
    <w:rsid w:val="007E7F6B"/>
    <w:rsid w:val="007F0023"/>
    <w:rsid w:val="007F5615"/>
    <w:rsid w:val="007F5CCB"/>
    <w:rsid w:val="007F691B"/>
    <w:rsid w:val="008025E0"/>
    <w:rsid w:val="008037C4"/>
    <w:rsid w:val="00804B73"/>
    <w:rsid w:val="008104EC"/>
    <w:rsid w:val="00810702"/>
    <w:rsid w:val="00812C97"/>
    <w:rsid w:val="00813890"/>
    <w:rsid w:val="008148CC"/>
    <w:rsid w:val="00815633"/>
    <w:rsid w:val="008230E8"/>
    <w:rsid w:val="00823B3B"/>
    <w:rsid w:val="0082637B"/>
    <w:rsid w:val="008264A4"/>
    <w:rsid w:val="00835E79"/>
    <w:rsid w:val="008410A8"/>
    <w:rsid w:val="0084148B"/>
    <w:rsid w:val="008517E5"/>
    <w:rsid w:val="008526D5"/>
    <w:rsid w:val="00856124"/>
    <w:rsid w:val="0086083F"/>
    <w:rsid w:val="008611F5"/>
    <w:rsid w:val="008675D9"/>
    <w:rsid w:val="008727BC"/>
    <w:rsid w:val="008814C7"/>
    <w:rsid w:val="00882308"/>
    <w:rsid w:val="00884F9F"/>
    <w:rsid w:val="00890B9A"/>
    <w:rsid w:val="008967EF"/>
    <w:rsid w:val="008A170A"/>
    <w:rsid w:val="008A3C5D"/>
    <w:rsid w:val="008A62B0"/>
    <w:rsid w:val="008B09FA"/>
    <w:rsid w:val="008B20F2"/>
    <w:rsid w:val="008B2122"/>
    <w:rsid w:val="008B55A1"/>
    <w:rsid w:val="008B5EBB"/>
    <w:rsid w:val="008B62EB"/>
    <w:rsid w:val="008B7504"/>
    <w:rsid w:val="008C3243"/>
    <w:rsid w:val="008C7900"/>
    <w:rsid w:val="008D522C"/>
    <w:rsid w:val="008D677E"/>
    <w:rsid w:val="008D7D44"/>
    <w:rsid w:val="008F1725"/>
    <w:rsid w:val="008F56A9"/>
    <w:rsid w:val="008F6113"/>
    <w:rsid w:val="00900CDB"/>
    <w:rsid w:val="00901510"/>
    <w:rsid w:val="00903E0B"/>
    <w:rsid w:val="009066DF"/>
    <w:rsid w:val="009068CD"/>
    <w:rsid w:val="009068D5"/>
    <w:rsid w:val="009152DE"/>
    <w:rsid w:val="009219BF"/>
    <w:rsid w:val="00925A3B"/>
    <w:rsid w:val="00927443"/>
    <w:rsid w:val="00937317"/>
    <w:rsid w:val="00940DD5"/>
    <w:rsid w:val="009424C3"/>
    <w:rsid w:val="0094373F"/>
    <w:rsid w:val="00944DEC"/>
    <w:rsid w:val="009502FA"/>
    <w:rsid w:val="00952B77"/>
    <w:rsid w:val="0095333B"/>
    <w:rsid w:val="00955927"/>
    <w:rsid w:val="009571BF"/>
    <w:rsid w:val="0096179E"/>
    <w:rsid w:val="00965E67"/>
    <w:rsid w:val="00973226"/>
    <w:rsid w:val="0098557F"/>
    <w:rsid w:val="00985689"/>
    <w:rsid w:val="009866ED"/>
    <w:rsid w:val="009875B8"/>
    <w:rsid w:val="00990692"/>
    <w:rsid w:val="00992C24"/>
    <w:rsid w:val="00994611"/>
    <w:rsid w:val="00997D0C"/>
    <w:rsid w:val="009A34DD"/>
    <w:rsid w:val="009A3518"/>
    <w:rsid w:val="009A7AB8"/>
    <w:rsid w:val="009B0C26"/>
    <w:rsid w:val="009B3900"/>
    <w:rsid w:val="009C19C9"/>
    <w:rsid w:val="009C2CBF"/>
    <w:rsid w:val="009C5E2D"/>
    <w:rsid w:val="009D39E5"/>
    <w:rsid w:val="009D64E4"/>
    <w:rsid w:val="009F5043"/>
    <w:rsid w:val="009F6868"/>
    <w:rsid w:val="00A017F1"/>
    <w:rsid w:val="00A073C7"/>
    <w:rsid w:val="00A14CE1"/>
    <w:rsid w:val="00A201FA"/>
    <w:rsid w:val="00A25483"/>
    <w:rsid w:val="00A27EFA"/>
    <w:rsid w:val="00A301B4"/>
    <w:rsid w:val="00A32258"/>
    <w:rsid w:val="00A41ADE"/>
    <w:rsid w:val="00A42B86"/>
    <w:rsid w:val="00A443EC"/>
    <w:rsid w:val="00A474BB"/>
    <w:rsid w:val="00A47EA0"/>
    <w:rsid w:val="00A53ED8"/>
    <w:rsid w:val="00A5492B"/>
    <w:rsid w:val="00A55F61"/>
    <w:rsid w:val="00A6313D"/>
    <w:rsid w:val="00A7020D"/>
    <w:rsid w:val="00A73D02"/>
    <w:rsid w:val="00A753EC"/>
    <w:rsid w:val="00A76501"/>
    <w:rsid w:val="00A76F80"/>
    <w:rsid w:val="00A775BA"/>
    <w:rsid w:val="00A85B90"/>
    <w:rsid w:val="00A85C9E"/>
    <w:rsid w:val="00A90B37"/>
    <w:rsid w:val="00AA063F"/>
    <w:rsid w:val="00AA1298"/>
    <w:rsid w:val="00AA1312"/>
    <w:rsid w:val="00AA1B8A"/>
    <w:rsid w:val="00AA2441"/>
    <w:rsid w:val="00AA452B"/>
    <w:rsid w:val="00AA4FE4"/>
    <w:rsid w:val="00AA6AF0"/>
    <w:rsid w:val="00AB0236"/>
    <w:rsid w:val="00AB09E1"/>
    <w:rsid w:val="00AB2898"/>
    <w:rsid w:val="00AB38A9"/>
    <w:rsid w:val="00AB3EC3"/>
    <w:rsid w:val="00AB43CD"/>
    <w:rsid w:val="00AB467D"/>
    <w:rsid w:val="00AB71AA"/>
    <w:rsid w:val="00AC0C84"/>
    <w:rsid w:val="00AC3398"/>
    <w:rsid w:val="00AC4879"/>
    <w:rsid w:val="00AD61CC"/>
    <w:rsid w:val="00AE577E"/>
    <w:rsid w:val="00AF0A8A"/>
    <w:rsid w:val="00AF40A3"/>
    <w:rsid w:val="00AF7644"/>
    <w:rsid w:val="00B06A31"/>
    <w:rsid w:val="00B06BAB"/>
    <w:rsid w:val="00B1322B"/>
    <w:rsid w:val="00B13EB7"/>
    <w:rsid w:val="00B207FE"/>
    <w:rsid w:val="00B2156B"/>
    <w:rsid w:val="00B23DC7"/>
    <w:rsid w:val="00B265B0"/>
    <w:rsid w:val="00B30C9B"/>
    <w:rsid w:val="00B317CF"/>
    <w:rsid w:val="00B31E40"/>
    <w:rsid w:val="00B35414"/>
    <w:rsid w:val="00B35735"/>
    <w:rsid w:val="00B3724F"/>
    <w:rsid w:val="00B375E2"/>
    <w:rsid w:val="00B37A26"/>
    <w:rsid w:val="00B407D0"/>
    <w:rsid w:val="00B4304E"/>
    <w:rsid w:val="00B4441A"/>
    <w:rsid w:val="00B45845"/>
    <w:rsid w:val="00B511B3"/>
    <w:rsid w:val="00B562D5"/>
    <w:rsid w:val="00B57EBE"/>
    <w:rsid w:val="00B611B1"/>
    <w:rsid w:val="00B638CD"/>
    <w:rsid w:val="00B63C0A"/>
    <w:rsid w:val="00B70C47"/>
    <w:rsid w:val="00B71942"/>
    <w:rsid w:val="00B72FE7"/>
    <w:rsid w:val="00B7686C"/>
    <w:rsid w:val="00B83D23"/>
    <w:rsid w:val="00B869FD"/>
    <w:rsid w:val="00B954E9"/>
    <w:rsid w:val="00BA1E9D"/>
    <w:rsid w:val="00BA29C4"/>
    <w:rsid w:val="00BA5020"/>
    <w:rsid w:val="00BA7BAB"/>
    <w:rsid w:val="00BB2683"/>
    <w:rsid w:val="00BB35BA"/>
    <w:rsid w:val="00BB379C"/>
    <w:rsid w:val="00BB3F6F"/>
    <w:rsid w:val="00BB436A"/>
    <w:rsid w:val="00BB73C5"/>
    <w:rsid w:val="00BD4289"/>
    <w:rsid w:val="00BD43C6"/>
    <w:rsid w:val="00BD7F07"/>
    <w:rsid w:val="00BE03FC"/>
    <w:rsid w:val="00BE1809"/>
    <w:rsid w:val="00BE1837"/>
    <w:rsid w:val="00BE5BB7"/>
    <w:rsid w:val="00BF1A8F"/>
    <w:rsid w:val="00BF458B"/>
    <w:rsid w:val="00BF6092"/>
    <w:rsid w:val="00C03D60"/>
    <w:rsid w:val="00C07291"/>
    <w:rsid w:val="00C1389F"/>
    <w:rsid w:val="00C16198"/>
    <w:rsid w:val="00C16292"/>
    <w:rsid w:val="00C1723E"/>
    <w:rsid w:val="00C21FCC"/>
    <w:rsid w:val="00C2305F"/>
    <w:rsid w:val="00C24ECC"/>
    <w:rsid w:val="00C33FDA"/>
    <w:rsid w:val="00C355E7"/>
    <w:rsid w:val="00C4123B"/>
    <w:rsid w:val="00C41CE2"/>
    <w:rsid w:val="00C428C6"/>
    <w:rsid w:val="00C4305E"/>
    <w:rsid w:val="00C55171"/>
    <w:rsid w:val="00C57C7F"/>
    <w:rsid w:val="00C640F5"/>
    <w:rsid w:val="00C67EEF"/>
    <w:rsid w:val="00C70462"/>
    <w:rsid w:val="00C74ACC"/>
    <w:rsid w:val="00C77CEF"/>
    <w:rsid w:val="00C84E59"/>
    <w:rsid w:val="00C860DC"/>
    <w:rsid w:val="00C867A0"/>
    <w:rsid w:val="00C92928"/>
    <w:rsid w:val="00CA33B1"/>
    <w:rsid w:val="00CA38A8"/>
    <w:rsid w:val="00CA585C"/>
    <w:rsid w:val="00CB0BF2"/>
    <w:rsid w:val="00CB0BF4"/>
    <w:rsid w:val="00CB4A3B"/>
    <w:rsid w:val="00CB5BCF"/>
    <w:rsid w:val="00CB697E"/>
    <w:rsid w:val="00CB7FB1"/>
    <w:rsid w:val="00CC1FDB"/>
    <w:rsid w:val="00CC5B27"/>
    <w:rsid w:val="00CC6650"/>
    <w:rsid w:val="00CD0BEF"/>
    <w:rsid w:val="00CD6069"/>
    <w:rsid w:val="00CD74A6"/>
    <w:rsid w:val="00CE155E"/>
    <w:rsid w:val="00CE214C"/>
    <w:rsid w:val="00CE6210"/>
    <w:rsid w:val="00CE6546"/>
    <w:rsid w:val="00CE66F0"/>
    <w:rsid w:val="00CE6B18"/>
    <w:rsid w:val="00CF184B"/>
    <w:rsid w:val="00CF423C"/>
    <w:rsid w:val="00CF601A"/>
    <w:rsid w:val="00CF61C4"/>
    <w:rsid w:val="00D0321B"/>
    <w:rsid w:val="00D05B3C"/>
    <w:rsid w:val="00D068E2"/>
    <w:rsid w:val="00D1112B"/>
    <w:rsid w:val="00D13329"/>
    <w:rsid w:val="00D16C4D"/>
    <w:rsid w:val="00D173FF"/>
    <w:rsid w:val="00D24032"/>
    <w:rsid w:val="00D37B96"/>
    <w:rsid w:val="00D404A1"/>
    <w:rsid w:val="00D41211"/>
    <w:rsid w:val="00D4196B"/>
    <w:rsid w:val="00D4229B"/>
    <w:rsid w:val="00D4449E"/>
    <w:rsid w:val="00D4671B"/>
    <w:rsid w:val="00D47136"/>
    <w:rsid w:val="00D507E7"/>
    <w:rsid w:val="00D53588"/>
    <w:rsid w:val="00D555A7"/>
    <w:rsid w:val="00D55874"/>
    <w:rsid w:val="00D6388B"/>
    <w:rsid w:val="00D63A3D"/>
    <w:rsid w:val="00D63FEB"/>
    <w:rsid w:val="00D677B7"/>
    <w:rsid w:val="00D70C52"/>
    <w:rsid w:val="00D71D65"/>
    <w:rsid w:val="00D810B1"/>
    <w:rsid w:val="00D81608"/>
    <w:rsid w:val="00D81726"/>
    <w:rsid w:val="00D85312"/>
    <w:rsid w:val="00D9229C"/>
    <w:rsid w:val="00DA150E"/>
    <w:rsid w:val="00DA3CE4"/>
    <w:rsid w:val="00DA68EC"/>
    <w:rsid w:val="00DA6AC8"/>
    <w:rsid w:val="00DB308C"/>
    <w:rsid w:val="00DB48A3"/>
    <w:rsid w:val="00DB5EE1"/>
    <w:rsid w:val="00DC0332"/>
    <w:rsid w:val="00DD2C0B"/>
    <w:rsid w:val="00DD4660"/>
    <w:rsid w:val="00DD49BA"/>
    <w:rsid w:val="00DD4D6C"/>
    <w:rsid w:val="00DD4FB3"/>
    <w:rsid w:val="00DE5BC3"/>
    <w:rsid w:val="00DF0B61"/>
    <w:rsid w:val="00DF43A7"/>
    <w:rsid w:val="00DF46B7"/>
    <w:rsid w:val="00DF5248"/>
    <w:rsid w:val="00E019B8"/>
    <w:rsid w:val="00E025C0"/>
    <w:rsid w:val="00E0545D"/>
    <w:rsid w:val="00E102CC"/>
    <w:rsid w:val="00E1362B"/>
    <w:rsid w:val="00E15AF7"/>
    <w:rsid w:val="00E175B6"/>
    <w:rsid w:val="00E17B58"/>
    <w:rsid w:val="00E222CC"/>
    <w:rsid w:val="00E24D0E"/>
    <w:rsid w:val="00E26812"/>
    <w:rsid w:val="00E27014"/>
    <w:rsid w:val="00E37907"/>
    <w:rsid w:val="00E400ED"/>
    <w:rsid w:val="00E4243B"/>
    <w:rsid w:val="00E52884"/>
    <w:rsid w:val="00E557E6"/>
    <w:rsid w:val="00E60FB4"/>
    <w:rsid w:val="00E67893"/>
    <w:rsid w:val="00E70D30"/>
    <w:rsid w:val="00E70DAB"/>
    <w:rsid w:val="00E70EE2"/>
    <w:rsid w:val="00E72932"/>
    <w:rsid w:val="00E742D6"/>
    <w:rsid w:val="00E76AF7"/>
    <w:rsid w:val="00E772E2"/>
    <w:rsid w:val="00E826B7"/>
    <w:rsid w:val="00E8322D"/>
    <w:rsid w:val="00E8403E"/>
    <w:rsid w:val="00E85497"/>
    <w:rsid w:val="00E87600"/>
    <w:rsid w:val="00E901E4"/>
    <w:rsid w:val="00E93B87"/>
    <w:rsid w:val="00E951F4"/>
    <w:rsid w:val="00E959A1"/>
    <w:rsid w:val="00E97332"/>
    <w:rsid w:val="00EA5CC1"/>
    <w:rsid w:val="00EB1E9A"/>
    <w:rsid w:val="00EB318D"/>
    <w:rsid w:val="00EB38B0"/>
    <w:rsid w:val="00EB5690"/>
    <w:rsid w:val="00EC19BF"/>
    <w:rsid w:val="00EC1A2A"/>
    <w:rsid w:val="00EC4780"/>
    <w:rsid w:val="00EC55E3"/>
    <w:rsid w:val="00ED12AA"/>
    <w:rsid w:val="00ED478D"/>
    <w:rsid w:val="00ED4F34"/>
    <w:rsid w:val="00ED68CE"/>
    <w:rsid w:val="00EE206C"/>
    <w:rsid w:val="00EE5251"/>
    <w:rsid w:val="00EE6082"/>
    <w:rsid w:val="00EF162B"/>
    <w:rsid w:val="00EF25F3"/>
    <w:rsid w:val="00EF3C3E"/>
    <w:rsid w:val="00F00015"/>
    <w:rsid w:val="00F01685"/>
    <w:rsid w:val="00F03B30"/>
    <w:rsid w:val="00F05361"/>
    <w:rsid w:val="00F059F1"/>
    <w:rsid w:val="00F11A75"/>
    <w:rsid w:val="00F1349C"/>
    <w:rsid w:val="00F24EB0"/>
    <w:rsid w:val="00F25B4A"/>
    <w:rsid w:val="00F26C9B"/>
    <w:rsid w:val="00F33D08"/>
    <w:rsid w:val="00F3571B"/>
    <w:rsid w:val="00F3725E"/>
    <w:rsid w:val="00F42E14"/>
    <w:rsid w:val="00F439E3"/>
    <w:rsid w:val="00F46528"/>
    <w:rsid w:val="00F52BF2"/>
    <w:rsid w:val="00F538F0"/>
    <w:rsid w:val="00F54972"/>
    <w:rsid w:val="00F567E4"/>
    <w:rsid w:val="00F5695D"/>
    <w:rsid w:val="00F638CD"/>
    <w:rsid w:val="00F64D84"/>
    <w:rsid w:val="00F67CE2"/>
    <w:rsid w:val="00F71F1B"/>
    <w:rsid w:val="00F7550B"/>
    <w:rsid w:val="00F7677A"/>
    <w:rsid w:val="00F86C75"/>
    <w:rsid w:val="00F91FD4"/>
    <w:rsid w:val="00FA212E"/>
    <w:rsid w:val="00FB1327"/>
    <w:rsid w:val="00FB24A8"/>
    <w:rsid w:val="00FB2F8B"/>
    <w:rsid w:val="00FB673C"/>
    <w:rsid w:val="00FB6E24"/>
    <w:rsid w:val="00FC03FC"/>
    <w:rsid w:val="00FC17A5"/>
    <w:rsid w:val="00FC4D55"/>
    <w:rsid w:val="00FC6ACE"/>
    <w:rsid w:val="00FD2620"/>
    <w:rsid w:val="00FD3694"/>
    <w:rsid w:val="00FD4C37"/>
    <w:rsid w:val="00FD6D8D"/>
    <w:rsid w:val="00FD736E"/>
    <w:rsid w:val="00FD7682"/>
    <w:rsid w:val="00FE510D"/>
    <w:rsid w:val="00FF3E13"/>
    <w:rsid w:val="00FF4138"/>
    <w:rsid w:val="00FF4548"/>
    <w:rsid w:val="00FF465A"/>
    <w:rsid w:val="00FF4A6A"/>
    <w:rsid w:val="00FF5364"/>
    <w:rsid w:val="00FF6B06"/>
    <w:rsid w:val="014966AA"/>
    <w:rsid w:val="0157032E"/>
    <w:rsid w:val="032121AE"/>
    <w:rsid w:val="0361681B"/>
    <w:rsid w:val="04803FF9"/>
    <w:rsid w:val="04BA498F"/>
    <w:rsid w:val="057F2478"/>
    <w:rsid w:val="06B81E47"/>
    <w:rsid w:val="095B4567"/>
    <w:rsid w:val="0A3B083A"/>
    <w:rsid w:val="0A652C49"/>
    <w:rsid w:val="0A814349"/>
    <w:rsid w:val="0BD14F70"/>
    <w:rsid w:val="0BE74F15"/>
    <w:rsid w:val="0DFA6204"/>
    <w:rsid w:val="0F912959"/>
    <w:rsid w:val="108A5E47"/>
    <w:rsid w:val="11E164E5"/>
    <w:rsid w:val="150F2E19"/>
    <w:rsid w:val="162F5E25"/>
    <w:rsid w:val="16903CD1"/>
    <w:rsid w:val="17015EAB"/>
    <w:rsid w:val="183304C3"/>
    <w:rsid w:val="18542BF6"/>
    <w:rsid w:val="186662F2"/>
    <w:rsid w:val="18BF57CB"/>
    <w:rsid w:val="1A192983"/>
    <w:rsid w:val="1C9D755D"/>
    <w:rsid w:val="1D540AAA"/>
    <w:rsid w:val="1F5204F5"/>
    <w:rsid w:val="1F5F5389"/>
    <w:rsid w:val="20DC424E"/>
    <w:rsid w:val="20FA7627"/>
    <w:rsid w:val="213A7DC9"/>
    <w:rsid w:val="23F84F96"/>
    <w:rsid w:val="2468054E"/>
    <w:rsid w:val="24EB531E"/>
    <w:rsid w:val="2A21112E"/>
    <w:rsid w:val="2A704DAF"/>
    <w:rsid w:val="2B3C72FC"/>
    <w:rsid w:val="2B99227F"/>
    <w:rsid w:val="2C06004A"/>
    <w:rsid w:val="2C362D97"/>
    <w:rsid w:val="2C8C7F23"/>
    <w:rsid w:val="2D0A7112"/>
    <w:rsid w:val="2F2D0876"/>
    <w:rsid w:val="2F435524"/>
    <w:rsid w:val="2FFF4E22"/>
    <w:rsid w:val="301C26FD"/>
    <w:rsid w:val="31685509"/>
    <w:rsid w:val="31C84ED6"/>
    <w:rsid w:val="327E7075"/>
    <w:rsid w:val="333103D3"/>
    <w:rsid w:val="36862027"/>
    <w:rsid w:val="38DE5291"/>
    <w:rsid w:val="38EF73F6"/>
    <w:rsid w:val="39813778"/>
    <w:rsid w:val="39B10FB5"/>
    <w:rsid w:val="3A29797A"/>
    <w:rsid w:val="3A7C1983"/>
    <w:rsid w:val="3B6E698C"/>
    <w:rsid w:val="3D035E67"/>
    <w:rsid w:val="3D2C4B29"/>
    <w:rsid w:val="3DCD2FF3"/>
    <w:rsid w:val="3E59206F"/>
    <w:rsid w:val="3F8B424E"/>
    <w:rsid w:val="41FD6251"/>
    <w:rsid w:val="427B0293"/>
    <w:rsid w:val="429576C9"/>
    <w:rsid w:val="44A973E3"/>
    <w:rsid w:val="45CA54CE"/>
    <w:rsid w:val="476C53FE"/>
    <w:rsid w:val="488673B9"/>
    <w:rsid w:val="48C934B2"/>
    <w:rsid w:val="498C34BA"/>
    <w:rsid w:val="49E33EC9"/>
    <w:rsid w:val="4A142891"/>
    <w:rsid w:val="4CF644CD"/>
    <w:rsid w:val="4E212BBA"/>
    <w:rsid w:val="4F3B0826"/>
    <w:rsid w:val="4FDE4091"/>
    <w:rsid w:val="4FED0BF4"/>
    <w:rsid w:val="500B5912"/>
    <w:rsid w:val="508F61F7"/>
    <w:rsid w:val="521A11BF"/>
    <w:rsid w:val="53967313"/>
    <w:rsid w:val="547C40EB"/>
    <w:rsid w:val="55350158"/>
    <w:rsid w:val="56204033"/>
    <w:rsid w:val="574A1DC1"/>
    <w:rsid w:val="580C4D33"/>
    <w:rsid w:val="5B6927C4"/>
    <w:rsid w:val="5BB93F58"/>
    <w:rsid w:val="5F4253D5"/>
    <w:rsid w:val="5FE35741"/>
    <w:rsid w:val="5FF41868"/>
    <w:rsid w:val="602E1D5A"/>
    <w:rsid w:val="62880CFB"/>
    <w:rsid w:val="62B709F0"/>
    <w:rsid w:val="636447A9"/>
    <w:rsid w:val="639456EF"/>
    <w:rsid w:val="65E722DC"/>
    <w:rsid w:val="667E6070"/>
    <w:rsid w:val="668A56FA"/>
    <w:rsid w:val="697461D9"/>
    <w:rsid w:val="69F05A5E"/>
    <w:rsid w:val="6A5E280F"/>
    <w:rsid w:val="6B822971"/>
    <w:rsid w:val="6BF42648"/>
    <w:rsid w:val="6CA10ED4"/>
    <w:rsid w:val="6CDE15A9"/>
    <w:rsid w:val="6D0E56FC"/>
    <w:rsid w:val="6D8049B5"/>
    <w:rsid w:val="70D874C5"/>
    <w:rsid w:val="72DC3FDA"/>
    <w:rsid w:val="743F3744"/>
    <w:rsid w:val="7567401E"/>
    <w:rsid w:val="759A5F7F"/>
    <w:rsid w:val="75DC52CE"/>
    <w:rsid w:val="768523D8"/>
    <w:rsid w:val="77162EED"/>
    <w:rsid w:val="775A212A"/>
    <w:rsid w:val="780F6F82"/>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99" w:name="index heading"/>
    <w:lsdException w:qFormat="1" w:uiPriority="35" w:name="caption" w:locked="1"/>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1"/>
    <w:qFormat/>
    <w:uiPriority w:val="99"/>
    <w:pPr>
      <w:keepNext/>
      <w:keepLines/>
      <w:pageBreakBefore/>
      <w:spacing w:beforeLines="50" w:afterLines="50" w:line="360" w:lineRule="auto"/>
      <w:jc w:val="left"/>
      <w:outlineLvl w:val="0"/>
    </w:pPr>
    <w:rPr>
      <w:rFonts w:eastAsia="黑体"/>
      <w:b/>
      <w:bCs/>
      <w:kern w:val="44"/>
      <w:sz w:val="36"/>
      <w:szCs w:val="44"/>
    </w:rPr>
  </w:style>
  <w:style w:type="paragraph" w:styleId="5">
    <w:name w:val="heading 2"/>
    <w:basedOn w:val="1"/>
    <w:next w:val="1"/>
    <w:link w:val="52"/>
    <w:qFormat/>
    <w:uiPriority w:val="99"/>
    <w:pPr>
      <w:keepNext/>
      <w:keepLines/>
      <w:spacing w:beforeLines="50" w:afterLines="50" w:line="360" w:lineRule="auto"/>
      <w:jc w:val="left"/>
      <w:outlineLvl w:val="1"/>
    </w:pPr>
    <w:rPr>
      <w:rFonts w:ascii="Arial" w:hAnsi="Arial" w:eastAsia="黑体"/>
      <w:bCs/>
      <w:sz w:val="30"/>
      <w:szCs w:val="32"/>
    </w:rPr>
  </w:style>
  <w:style w:type="paragraph" w:styleId="6">
    <w:name w:val="heading 3"/>
    <w:basedOn w:val="1"/>
    <w:next w:val="1"/>
    <w:link w:val="53"/>
    <w:qFormat/>
    <w:uiPriority w:val="99"/>
    <w:pPr>
      <w:keepNext/>
      <w:keepLines/>
      <w:spacing w:line="360" w:lineRule="auto"/>
      <w:outlineLvl w:val="2"/>
    </w:pPr>
    <w:rPr>
      <w:b/>
      <w:bCs/>
      <w:sz w:val="28"/>
      <w:szCs w:val="32"/>
    </w:rPr>
  </w:style>
  <w:style w:type="paragraph" w:styleId="7">
    <w:name w:val="heading 4"/>
    <w:basedOn w:val="1"/>
    <w:next w:val="1"/>
    <w:link w:val="54"/>
    <w:qFormat/>
    <w:uiPriority w:val="99"/>
    <w:pPr>
      <w:keepNext/>
      <w:keepLines/>
      <w:autoSpaceDE w:val="0"/>
      <w:autoSpaceDN w:val="0"/>
      <w:adjustRightInd w:val="0"/>
      <w:spacing w:before="20" w:line="288" w:lineRule="auto"/>
      <w:jc w:val="left"/>
      <w:textAlignment w:val="baseline"/>
      <w:outlineLvl w:val="3"/>
    </w:pPr>
    <w:rPr>
      <w:rFonts w:eastAsia="长城楷体"/>
      <w:b/>
      <w:kern w:val="0"/>
      <w:sz w:val="28"/>
      <w:szCs w:val="20"/>
    </w:rPr>
  </w:style>
  <w:style w:type="paragraph" w:styleId="8">
    <w:name w:val="heading 5"/>
    <w:basedOn w:val="1"/>
    <w:next w:val="1"/>
    <w:link w:val="55"/>
    <w:qFormat/>
    <w:uiPriority w:val="99"/>
    <w:pPr>
      <w:keepNext/>
      <w:keepLines/>
      <w:autoSpaceDE w:val="0"/>
      <w:autoSpaceDN w:val="0"/>
      <w:adjustRightInd w:val="0"/>
      <w:spacing w:line="288" w:lineRule="auto"/>
      <w:jc w:val="left"/>
      <w:textAlignment w:val="baseline"/>
      <w:outlineLvl w:val="4"/>
    </w:pPr>
    <w:rPr>
      <w:b/>
      <w:kern w:val="0"/>
      <w:sz w:val="24"/>
      <w:szCs w:val="20"/>
    </w:rPr>
  </w:style>
  <w:style w:type="paragraph" w:styleId="9">
    <w:name w:val="heading 6"/>
    <w:basedOn w:val="1"/>
    <w:next w:val="1"/>
    <w:link w:val="56"/>
    <w:qFormat/>
    <w:uiPriority w:val="99"/>
    <w:pPr>
      <w:keepNext/>
      <w:keepLines/>
      <w:autoSpaceDE w:val="0"/>
      <w:autoSpaceDN w:val="0"/>
      <w:adjustRightInd w:val="0"/>
      <w:spacing w:before="240" w:after="64" w:line="320" w:lineRule="auto"/>
      <w:jc w:val="left"/>
      <w:textAlignment w:val="baseline"/>
      <w:outlineLvl w:val="5"/>
    </w:pPr>
    <w:rPr>
      <w:rFonts w:ascii="Arial" w:hAnsi="Arial" w:eastAsia="黑体"/>
      <w:b/>
      <w:kern w:val="0"/>
      <w:sz w:val="24"/>
      <w:szCs w:val="20"/>
    </w:rPr>
  </w:style>
  <w:style w:type="paragraph" w:styleId="10">
    <w:name w:val="heading 7"/>
    <w:basedOn w:val="1"/>
    <w:next w:val="1"/>
    <w:link w:val="57"/>
    <w:qFormat/>
    <w:uiPriority w:val="99"/>
    <w:pPr>
      <w:keepNext/>
      <w:keepLines/>
      <w:autoSpaceDE w:val="0"/>
      <w:autoSpaceDN w:val="0"/>
      <w:adjustRightInd w:val="0"/>
      <w:spacing w:before="240" w:after="64" w:line="320" w:lineRule="auto"/>
      <w:jc w:val="left"/>
      <w:textAlignment w:val="baseline"/>
      <w:outlineLvl w:val="6"/>
    </w:pPr>
    <w:rPr>
      <w:b/>
      <w:kern w:val="0"/>
      <w:sz w:val="24"/>
      <w:szCs w:val="20"/>
    </w:rPr>
  </w:style>
  <w:style w:type="paragraph" w:styleId="11">
    <w:name w:val="heading 8"/>
    <w:basedOn w:val="1"/>
    <w:next w:val="1"/>
    <w:link w:val="58"/>
    <w:qFormat/>
    <w:uiPriority w:val="99"/>
    <w:pPr>
      <w:keepNext/>
      <w:keepLines/>
      <w:autoSpaceDE w:val="0"/>
      <w:autoSpaceDN w:val="0"/>
      <w:adjustRightInd w:val="0"/>
      <w:spacing w:before="240" w:after="64" w:line="320" w:lineRule="auto"/>
      <w:jc w:val="left"/>
      <w:textAlignment w:val="baseline"/>
      <w:outlineLvl w:val="7"/>
    </w:pPr>
    <w:rPr>
      <w:rFonts w:ascii="Arial" w:hAnsi="Arial" w:eastAsia="黑体"/>
      <w:kern w:val="0"/>
      <w:sz w:val="24"/>
      <w:szCs w:val="20"/>
    </w:rPr>
  </w:style>
  <w:style w:type="paragraph" w:styleId="12">
    <w:name w:val="heading 9"/>
    <w:basedOn w:val="1"/>
    <w:next w:val="1"/>
    <w:link w:val="59"/>
    <w:qFormat/>
    <w:uiPriority w:val="99"/>
    <w:pPr>
      <w:keepNext/>
      <w:keepLines/>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2">
    <w:name w:val="header"/>
    <w:basedOn w:val="1"/>
    <w:next w:val="3"/>
    <w:link w:val="72"/>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next w:val="1"/>
    <w:link w:val="64"/>
    <w:qFormat/>
    <w:uiPriority w:val="99"/>
    <w:pPr>
      <w:spacing w:line="400" w:lineRule="exact"/>
    </w:pPr>
    <w:rPr>
      <w:color w:val="FF0000"/>
      <w:spacing w:val="4"/>
    </w:rPr>
  </w:style>
  <w:style w:type="paragraph" w:styleId="13">
    <w:name w:val="toc 7"/>
    <w:basedOn w:val="1"/>
    <w:next w:val="1"/>
    <w:qFormat/>
    <w:uiPriority w:val="39"/>
    <w:pPr>
      <w:ind w:left="2520" w:leftChars="1200"/>
    </w:pPr>
  </w:style>
  <w:style w:type="paragraph" w:styleId="14">
    <w:name w:val="Normal Indent"/>
    <w:basedOn w:val="1"/>
    <w:link w:val="118"/>
    <w:qFormat/>
    <w:uiPriority w:val="99"/>
    <w:pPr>
      <w:ind w:firstLine="420"/>
    </w:pPr>
    <w:rPr>
      <w:szCs w:val="20"/>
    </w:rPr>
  </w:style>
  <w:style w:type="paragraph" w:styleId="15">
    <w:name w:val="Document Map"/>
    <w:basedOn w:val="1"/>
    <w:link w:val="62"/>
    <w:semiHidden/>
    <w:qFormat/>
    <w:uiPriority w:val="99"/>
    <w:pPr>
      <w:shd w:val="clear" w:color="auto" w:fill="000080"/>
    </w:pPr>
  </w:style>
  <w:style w:type="paragraph" w:styleId="16">
    <w:name w:val="annotation text"/>
    <w:basedOn w:val="1"/>
    <w:link w:val="60"/>
    <w:qFormat/>
    <w:uiPriority w:val="99"/>
    <w:pPr>
      <w:jc w:val="left"/>
    </w:pPr>
  </w:style>
  <w:style w:type="paragraph" w:styleId="17">
    <w:name w:val="Body Text 3"/>
    <w:basedOn w:val="1"/>
    <w:link w:val="63"/>
    <w:qFormat/>
    <w:uiPriority w:val="99"/>
    <w:pPr>
      <w:spacing w:after="120"/>
    </w:pPr>
    <w:rPr>
      <w:sz w:val="16"/>
      <w:szCs w:val="16"/>
    </w:rPr>
  </w:style>
  <w:style w:type="paragraph" w:styleId="18">
    <w:name w:val="Body Text Indent"/>
    <w:basedOn w:val="1"/>
    <w:link w:val="65"/>
    <w:qFormat/>
    <w:uiPriority w:val="99"/>
    <w:pPr>
      <w:spacing w:after="120"/>
      <w:ind w:left="420" w:leftChars="200"/>
    </w:pPr>
  </w:style>
  <w:style w:type="paragraph" w:styleId="19">
    <w:name w:val="toc 5"/>
    <w:basedOn w:val="1"/>
    <w:next w:val="1"/>
    <w:qFormat/>
    <w:uiPriority w:val="39"/>
    <w:pPr>
      <w:ind w:left="1680" w:leftChars="800"/>
    </w:pPr>
  </w:style>
  <w:style w:type="paragraph" w:styleId="20">
    <w:name w:val="toc 3"/>
    <w:basedOn w:val="1"/>
    <w:next w:val="1"/>
    <w:qFormat/>
    <w:uiPriority w:val="39"/>
    <w:pPr>
      <w:ind w:left="840" w:leftChars="400"/>
    </w:pPr>
  </w:style>
  <w:style w:type="paragraph" w:styleId="21">
    <w:name w:val="Plain Text"/>
    <w:basedOn w:val="1"/>
    <w:link w:val="66"/>
    <w:qFormat/>
    <w:uiPriority w:val="99"/>
    <w:rPr>
      <w:rFonts w:ascii="宋体" w:hAnsi="Courier New" w:cs="隶书"/>
      <w:szCs w:val="21"/>
    </w:rPr>
  </w:style>
  <w:style w:type="paragraph" w:styleId="22">
    <w:name w:val="toc 8"/>
    <w:basedOn w:val="1"/>
    <w:next w:val="1"/>
    <w:qFormat/>
    <w:uiPriority w:val="39"/>
    <w:pPr>
      <w:ind w:left="2940" w:leftChars="1400"/>
    </w:pPr>
  </w:style>
  <w:style w:type="paragraph" w:styleId="23">
    <w:name w:val="Date"/>
    <w:basedOn w:val="1"/>
    <w:next w:val="1"/>
    <w:link w:val="67"/>
    <w:qFormat/>
    <w:uiPriority w:val="99"/>
    <w:pPr>
      <w:ind w:left="100" w:leftChars="2500"/>
    </w:pPr>
  </w:style>
  <w:style w:type="paragraph" w:styleId="24">
    <w:name w:val="Body Text Indent 2"/>
    <w:basedOn w:val="1"/>
    <w:link w:val="68"/>
    <w:qFormat/>
    <w:uiPriority w:val="99"/>
    <w:pPr>
      <w:spacing w:after="120" w:line="480" w:lineRule="auto"/>
      <w:ind w:left="420"/>
    </w:pPr>
  </w:style>
  <w:style w:type="paragraph" w:styleId="25">
    <w:name w:val="Balloon Text"/>
    <w:basedOn w:val="1"/>
    <w:link w:val="69"/>
    <w:semiHidden/>
    <w:qFormat/>
    <w:uiPriority w:val="99"/>
    <w:rPr>
      <w:sz w:val="18"/>
      <w:szCs w:val="18"/>
    </w:rPr>
  </w:style>
  <w:style w:type="paragraph" w:styleId="26">
    <w:name w:val="footer"/>
    <w:basedOn w:val="1"/>
    <w:link w:val="70"/>
    <w:qFormat/>
    <w:uiPriority w:val="99"/>
    <w:pPr>
      <w:tabs>
        <w:tab w:val="center" w:pos="4153"/>
        <w:tab w:val="right" w:pos="8306"/>
      </w:tabs>
      <w:snapToGrid w:val="0"/>
      <w:jc w:val="left"/>
    </w:pPr>
    <w:rPr>
      <w:sz w:val="18"/>
      <w:szCs w:val="18"/>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index heading"/>
    <w:basedOn w:val="1"/>
    <w:next w:val="30"/>
    <w:semiHidden/>
    <w:qFormat/>
    <w:uiPriority w:val="99"/>
    <w:rPr>
      <w:rFonts w:ascii="Arial" w:hAnsi="Arial" w:cs="Arial"/>
      <w:b/>
      <w:bCs/>
    </w:rPr>
  </w:style>
  <w:style w:type="paragraph" w:styleId="30">
    <w:name w:val="index 1"/>
    <w:basedOn w:val="1"/>
    <w:next w:val="1"/>
    <w:semiHidden/>
    <w:qFormat/>
    <w:uiPriority w:val="99"/>
  </w:style>
  <w:style w:type="paragraph" w:styleId="31">
    <w:name w:val="Subtitle"/>
    <w:basedOn w:val="1"/>
    <w:next w:val="1"/>
    <w:qFormat/>
    <w:locked/>
    <w:uiPriority w:val="0"/>
    <w:pPr>
      <w:spacing w:before="20" w:after="20"/>
      <w:ind w:firstLine="0" w:firstLineChars="0"/>
      <w:outlineLvl w:val="1"/>
    </w:pPr>
    <w:rPr>
      <w:rFonts w:ascii="黑体" w:hAnsi="黑体" w:eastAsia="黑体"/>
      <w:bCs/>
      <w:kern w:val="28"/>
      <w:szCs w:val="32"/>
    </w:rPr>
  </w:style>
  <w:style w:type="paragraph" w:styleId="32">
    <w:name w:val="List"/>
    <w:basedOn w:val="1"/>
    <w:qFormat/>
    <w:uiPriority w:val="99"/>
    <w:pPr>
      <w:ind w:left="200" w:hanging="200" w:hangingChars="200"/>
    </w:pPr>
    <w:rPr>
      <w:rFonts w:eastAsia="方正宋三简体"/>
      <w:sz w:val="24"/>
    </w:rPr>
  </w:style>
  <w:style w:type="paragraph" w:styleId="33">
    <w:name w:val="toc 6"/>
    <w:basedOn w:val="1"/>
    <w:next w:val="1"/>
    <w:qFormat/>
    <w:uiPriority w:val="39"/>
    <w:pPr>
      <w:ind w:left="2100" w:leftChars="1000"/>
    </w:pPr>
  </w:style>
  <w:style w:type="paragraph" w:styleId="34">
    <w:name w:val="Body Text Indent 3"/>
    <w:basedOn w:val="1"/>
    <w:link w:val="73"/>
    <w:qFormat/>
    <w:uiPriority w:val="99"/>
    <w:pPr>
      <w:spacing w:after="120"/>
      <w:ind w:left="420" w:leftChars="200"/>
    </w:pPr>
    <w:rPr>
      <w:sz w:val="16"/>
      <w:szCs w:val="16"/>
    </w:rPr>
  </w:style>
  <w:style w:type="paragraph" w:styleId="35">
    <w:name w:val="toc 2"/>
    <w:basedOn w:val="1"/>
    <w:next w:val="1"/>
    <w:qFormat/>
    <w:uiPriority w:val="39"/>
    <w:pPr>
      <w:ind w:left="420" w:leftChars="200"/>
    </w:pPr>
  </w:style>
  <w:style w:type="paragraph" w:styleId="36">
    <w:name w:val="toc 9"/>
    <w:basedOn w:val="1"/>
    <w:next w:val="1"/>
    <w:qFormat/>
    <w:uiPriority w:val="39"/>
    <w:pPr>
      <w:ind w:left="3360" w:leftChars="1600"/>
    </w:pPr>
  </w:style>
  <w:style w:type="paragraph" w:styleId="37">
    <w:name w:val="Body Text 2"/>
    <w:basedOn w:val="1"/>
    <w:link w:val="74"/>
    <w:qFormat/>
    <w:uiPriority w:val="99"/>
    <w:pPr>
      <w:spacing w:after="120" w:line="480" w:lineRule="auto"/>
    </w:pPr>
  </w:style>
  <w:style w:type="paragraph" w:styleId="3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9">
    <w:name w:val="annotation subject"/>
    <w:basedOn w:val="16"/>
    <w:next w:val="16"/>
    <w:link w:val="61"/>
    <w:semiHidden/>
    <w:qFormat/>
    <w:uiPriority w:val="99"/>
    <w:rPr>
      <w:b/>
      <w:bCs/>
    </w:rPr>
  </w:style>
  <w:style w:type="paragraph" w:styleId="40">
    <w:name w:val="Body Text First Indent 2"/>
    <w:basedOn w:val="18"/>
    <w:next w:val="41"/>
    <w:link w:val="71"/>
    <w:qFormat/>
    <w:uiPriority w:val="99"/>
    <w:pPr>
      <w:ind w:firstLine="420" w:firstLineChars="200"/>
    </w:pPr>
  </w:style>
  <w:style w:type="paragraph" w:customStyle="1" w:styleId="41">
    <w:name w:val="样式 正文首行缩进 2 + 四号 首行缩进:  2 字符"/>
    <w:basedOn w:val="1"/>
    <w:next w:val="42"/>
    <w:qFormat/>
    <w:uiPriority w:val="99"/>
    <w:pPr>
      <w:widowControl/>
      <w:spacing w:line="360" w:lineRule="auto"/>
      <w:ind w:firstLine="200" w:firstLineChars="200"/>
      <w:jc w:val="left"/>
    </w:pPr>
    <w:rPr>
      <w:rFonts w:cs="宋体"/>
      <w:sz w:val="24"/>
      <w:szCs w:val="20"/>
    </w:rPr>
  </w:style>
  <w:style w:type="paragraph" w:customStyle="1" w:styleId="42">
    <w:name w:val="表体"/>
    <w:basedOn w:val="1"/>
    <w:qFormat/>
    <w:uiPriority w:val="99"/>
    <w:pPr>
      <w:adjustRightInd w:val="0"/>
      <w:snapToGrid w:val="0"/>
      <w:spacing w:line="320" w:lineRule="exact"/>
      <w:jc w:val="center"/>
    </w:pPr>
    <w:rPr>
      <w:rFonts w:ascii="宋体" w:hAnsi="宋体" w:cs="宋体"/>
      <w:szCs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99"/>
    <w:rPr>
      <w:rFonts w:cs="Times New Roman"/>
      <w:b/>
    </w:rPr>
  </w:style>
  <w:style w:type="character" w:styleId="47">
    <w:name w:val="page number"/>
    <w:qFormat/>
    <w:uiPriority w:val="99"/>
    <w:rPr>
      <w:rFonts w:cs="Times New Roman"/>
    </w:rPr>
  </w:style>
  <w:style w:type="character" w:styleId="48">
    <w:name w:val="Emphasis"/>
    <w:qFormat/>
    <w:locked/>
    <w:uiPriority w:val="20"/>
    <w:rPr>
      <w:rFonts w:ascii="Times New Roman" w:hAnsi="Times New Roman" w:eastAsia="宋体"/>
      <w:i/>
      <w:iCs/>
      <w:sz w:val="24"/>
    </w:rPr>
  </w:style>
  <w:style w:type="character" w:styleId="49">
    <w:name w:val="Hyperlink"/>
    <w:qFormat/>
    <w:uiPriority w:val="99"/>
    <w:rPr>
      <w:rFonts w:cs="Times New Roman"/>
      <w:color w:val="0000FF"/>
      <w:u w:val="single"/>
    </w:rPr>
  </w:style>
  <w:style w:type="character" w:styleId="50">
    <w:name w:val="annotation reference"/>
    <w:qFormat/>
    <w:uiPriority w:val="99"/>
    <w:rPr>
      <w:rFonts w:cs="Times New Roman"/>
      <w:sz w:val="21"/>
    </w:rPr>
  </w:style>
  <w:style w:type="character" w:customStyle="1" w:styleId="51">
    <w:name w:val="标题 1 Char"/>
    <w:link w:val="4"/>
    <w:qFormat/>
    <w:uiPriority w:val="9"/>
    <w:rPr>
      <w:b/>
      <w:bCs/>
      <w:kern w:val="44"/>
      <w:sz w:val="44"/>
      <w:szCs w:val="44"/>
    </w:rPr>
  </w:style>
  <w:style w:type="character" w:customStyle="1" w:styleId="52">
    <w:name w:val="标题 2 Char"/>
    <w:link w:val="5"/>
    <w:qFormat/>
    <w:uiPriority w:val="99"/>
    <w:rPr>
      <w:rFonts w:ascii="Cambria" w:hAnsi="Cambria" w:eastAsia="宋体" w:cs="Times New Roman"/>
      <w:b/>
      <w:bCs/>
      <w:sz w:val="32"/>
      <w:szCs w:val="32"/>
    </w:rPr>
  </w:style>
  <w:style w:type="character" w:customStyle="1" w:styleId="53">
    <w:name w:val="标题 3 Char"/>
    <w:link w:val="6"/>
    <w:qFormat/>
    <w:uiPriority w:val="99"/>
    <w:rPr>
      <w:b/>
      <w:bCs/>
      <w:sz w:val="32"/>
      <w:szCs w:val="32"/>
    </w:rPr>
  </w:style>
  <w:style w:type="character" w:customStyle="1" w:styleId="54">
    <w:name w:val="标题 4 Char"/>
    <w:link w:val="7"/>
    <w:semiHidden/>
    <w:qFormat/>
    <w:uiPriority w:val="9"/>
    <w:rPr>
      <w:rFonts w:ascii="Cambria" w:hAnsi="Cambria" w:eastAsia="宋体" w:cs="Times New Roman"/>
      <w:b/>
      <w:bCs/>
      <w:sz w:val="28"/>
      <w:szCs w:val="28"/>
    </w:rPr>
  </w:style>
  <w:style w:type="character" w:customStyle="1" w:styleId="55">
    <w:name w:val="标题 5 Char"/>
    <w:link w:val="8"/>
    <w:qFormat/>
    <w:uiPriority w:val="99"/>
    <w:rPr>
      <w:b/>
      <w:bCs/>
      <w:sz w:val="28"/>
      <w:szCs w:val="28"/>
    </w:rPr>
  </w:style>
  <w:style w:type="character" w:customStyle="1" w:styleId="56">
    <w:name w:val="标题 6 Char"/>
    <w:link w:val="9"/>
    <w:semiHidden/>
    <w:qFormat/>
    <w:uiPriority w:val="9"/>
    <w:rPr>
      <w:rFonts w:ascii="Cambria" w:hAnsi="Cambria" w:eastAsia="宋体" w:cs="Times New Roman"/>
      <w:b/>
      <w:bCs/>
      <w:sz w:val="24"/>
      <w:szCs w:val="24"/>
    </w:rPr>
  </w:style>
  <w:style w:type="character" w:customStyle="1" w:styleId="57">
    <w:name w:val="标题 7 Char"/>
    <w:link w:val="10"/>
    <w:semiHidden/>
    <w:qFormat/>
    <w:uiPriority w:val="9"/>
    <w:rPr>
      <w:b/>
      <w:bCs/>
      <w:sz w:val="24"/>
      <w:szCs w:val="24"/>
    </w:rPr>
  </w:style>
  <w:style w:type="character" w:customStyle="1" w:styleId="58">
    <w:name w:val="标题 8 Char"/>
    <w:link w:val="11"/>
    <w:semiHidden/>
    <w:qFormat/>
    <w:uiPriority w:val="9"/>
    <w:rPr>
      <w:rFonts w:ascii="Cambria" w:hAnsi="Cambria" w:eastAsia="宋体" w:cs="Times New Roman"/>
      <w:sz w:val="24"/>
      <w:szCs w:val="24"/>
    </w:rPr>
  </w:style>
  <w:style w:type="character" w:customStyle="1" w:styleId="59">
    <w:name w:val="标题 9 Char"/>
    <w:link w:val="12"/>
    <w:semiHidden/>
    <w:qFormat/>
    <w:uiPriority w:val="9"/>
    <w:rPr>
      <w:rFonts w:ascii="Cambria" w:hAnsi="Cambria" w:eastAsia="宋体" w:cs="Times New Roman"/>
      <w:szCs w:val="21"/>
    </w:rPr>
  </w:style>
  <w:style w:type="character" w:customStyle="1" w:styleId="60">
    <w:name w:val="批注文字 Char"/>
    <w:link w:val="16"/>
    <w:qFormat/>
    <w:locked/>
    <w:uiPriority w:val="99"/>
    <w:rPr>
      <w:rFonts w:cs="Times New Roman"/>
      <w:kern w:val="2"/>
      <w:sz w:val="24"/>
      <w:szCs w:val="24"/>
    </w:rPr>
  </w:style>
  <w:style w:type="character" w:customStyle="1" w:styleId="61">
    <w:name w:val="批注主题 Char"/>
    <w:link w:val="39"/>
    <w:semiHidden/>
    <w:qFormat/>
    <w:uiPriority w:val="99"/>
    <w:rPr>
      <w:rFonts w:cs="Times New Roman"/>
      <w:b/>
      <w:bCs/>
      <w:kern w:val="2"/>
      <w:sz w:val="24"/>
      <w:szCs w:val="24"/>
    </w:rPr>
  </w:style>
  <w:style w:type="character" w:customStyle="1" w:styleId="62">
    <w:name w:val="文档结构图 Char"/>
    <w:link w:val="15"/>
    <w:semiHidden/>
    <w:qFormat/>
    <w:uiPriority w:val="99"/>
    <w:rPr>
      <w:sz w:val="0"/>
      <w:szCs w:val="0"/>
    </w:rPr>
  </w:style>
  <w:style w:type="character" w:customStyle="1" w:styleId="63">
    <w:name w:val="正文文本 3 Char"/>
    <w:link w:val="17"/>
    <w:semiHidden/>
    <w:qFormat/>
    <w:uiPriority w:val="99"/>
    <w:rPr>
      <w:sz w:val="16"/>
      <w:szCs w:val="16"/>
    </w:rPr>
  </w:style>
  <w:style w:type="character" w:customStyle="1" w:styleId="64">
    <w:name w:val="正文文本 Char"/>
    <w:link w:val="3"/>
    <w:semiHidden/>
    <w:qFormat/>
    <w:uiPriority w:val="99"/>
    <w:rPr>
      <w:szCs w:val="24"/>
    </w:rPr>
  </w:style>
  <w:style w:type="character" w:customStyle="1" w:styleId="65">
    <w:name w:val="正文文本缩进 Char"/>
    <w:link w:val="18"/>
    <w:qFormat/>
    <w:locked/>
    <w:uiPriority w:val="99"/>
    <w:rPr>
      <w:rFonts w:cs="Times New Roman"/>
      <w:kern w:val="2"/>
      <w:sz w:val="24"/>
      <w:szCs w:val="24"/>
    </w:rPr>
  </w:style>
  <w:style w:type="character" w:customStyle="1" w:styleId="66">
    <w:name w:val="纯文本 Char"/>
    <w:link w:val="21"/>
    <w:qFormat/>
    <w:locked/>
    <w:uiPriority w:val="99"/>
    <w:rPr>
      <w:rFonts w:ascii="宋体" w:hAnsi="Courier New" w:eastAsia="宋体"/>
      <w:kern w:val="2"/>
      <w:sz w:val="21"/>
      <w:lang w:val="en-US" w:eastAsia="zh-CN"/>
    </w:rPr>
  </w:style>
  <w:style w:type="character" w:customStyle="1" w:styleId="67">
    <w:name w:val="日期 Char"/>
    <w:link w:val="23"/>
    <w:semiHidden/>
    <w:qFormat/>
    <w:uiPriority w:val="99"/>
    <w:rPr>
      <w:szCs w:val="24"/>
    </w:rPr>
  </w:style>
  <w:style w:type="character" w:customStyle="1" w:styleId="68">
    <w:name w:val="正文文本缩进 2 Char"/>
    <w:link w:val="24"/>
    <w:semiHidden/>
    <w:qFormat/>
    <w:uiPriority w:val="99"/>
    <w:rPr>
      <w:szCs w:val="24"/>
    </w:rPr>
  </w:style>
  <w:style w:type="character" w:customStyle="1" w:styleId="69">
    <w:name w:val="批注框文本 Char"/>
    <w:link w:val="25"/>
    <w:semiHidden/>
    <w:qFormat/>
    <w:uiPriority w:val="99"/>
    <w:rPr>
      <w:sz w:val="0"/>
      <w:szCs w:val="0"/>
    </w:rPr>
  </w:style>
  <w:style w:type="character" w:customStyle="1" w:styleId="70">
    <w:name w:val="页脚 Char"/>
    <w:link w:val="26"/>
    <w:qFormat/>
    <w:locked/>
    <w:uiPriority w:val="99"/>
    <w:rPr>
      <w:rFonts w:cs="Times New Roman"/>
      <w:kern w:val="2"/>
      <w:sz w:val="18"/>
      <w:szCs w:val="18"/>
    </w:rPr>
  </w:style>
  <w:style w:type="character" w:customStyle="1" w:styleId="71">
    <w:name w:val="正文首行缩进 2 Char"/>
    <w:link w:val="40"/>
    <w:qFormat/>
    <w:locked/>
    <w:uiPriority w:val="99"/>
    <w:rPr>
      <w:rFonts w:cs="Times New Roman"/>
      <w:kern w:val="2"/>
      <w:sz w:val="24"/>
      <w:szCs w:val="24"/>
      <w:lang w:val="en-US" w:eastAsia="zh-CN" w:bidi="ar-SA"/>
    </w:rPr>
  </w:style>
  <w:style w:type="character" w:customStyle="1" w:styleId="72">
    <w:name w:val="页眉 Char"/>
    <w:link w:val="2"/>
    <w:qFormat/>
    <w:locked/>
    <w:uiPriority w:val="99"/>
    <w:rPr>
      <w:rFonts w:eastAsia="宋体"/>
      <w:kern w:val="2"/>
      <w:sz w:val="18"/>
      <w:lang w:val="en-US" w:eastAsia="zh-CN"/>
    </w:rPr>
  </w:style>
  <w:style w:type="character" w:customStyle="1" w:styleId="73">
    <w:name w:val="正文文本缩进 3 Char"/>
    <w:link w:val="34"/>
    <w:qFormat/>
    <w:locked/>
    <w:uiPriority w:val="99"/>
    <w:rPr>
      <w:rFonts w:eastAsia="宋体"/>
      <w:kern w:val="2"/>
      <w:sz w:val="16"/>
      <w:lang w:val="en-US" w:eastAsia="zh-CN"/>
    </w:rPr>
  </w:style>
  <w:style w:type="character" w:customStyle="1" w:styleId="74">
    <w:name w:val="正文文本 2 Char"/>
    <w:link w:val="37"/>
    <w:semiHidden/>
    <w:qFormat/>
    <w:uiPriority w:val="99"/>
    <w:rPr>
      <w:szCs w:val="24"/>
    </w:rPr>
  </w:style>
  <w:style w:type="character" w:customStyle="1" w:styleId="75">
    <w:name w:val="普通文字 + 行距: 1.5 倍行距 Char"/>
    <w:qFormat/>
    <w:uiPriority w:val="99"/>
    <w:rPr>
      <w:rFonts w:ascii="宋体" w:hAnsi="Courier New" w:eastAsia="宋体"/>
      <w:kern w:val="2"/>
      <w:sz w:val="21"/>
      <w:lang w:val="en-US" w:eastAsia="zh-CN"/>
    </w:rPr>
  </w:style>
  <w:style w:type="character" w:customStyle="1" w:styleId="76">
    <w:name w:val="duanluo2"/>
    <w:qFormat/>
    <w:uiPriority w:val="99"/>
    <w:rPr>
      <w:rFonts w:ascii="_GB2312" w:hAnsi="_GB2312"/>
      <w:color w:val="000000"/>
      <w:sz w:val="21"/>
    </w:rPr>
  </w:style>
  <w:style w:type="character" w:customStyle="1" w:styleId="77">
    <w:name w:val="正文样式 Char"/>
    <w:link w:val="78"/>
    <w:qFormat/>
    <w:locked/>
    <w:uiPriority w:val="99"/>
    <w:rPr>
      <w:rFonts w:eastAsia="宋体" w:cs="宋体"/>
      <w:kern w:val="2"/>
      <w:lang w:val="en-US" w:eastAsia="zh-CN" w:bidi="ar-SA"/>
    </w:rPr>
  </w:style>
  <w:style w:type="paragraph" w:customStyle="1" w:styleId="78">
    <w:name w:val="正文样式"/>
    <w:basedOn w:val="1"/>
    <w:link w:val="77"/>
    <w:qFormat/>
    <w:uiPriority w:val="99"/>
    <w:pPr>
      <w:spacing w:line="360" w:lineRule="auto"/>
      <w:ind w:firstLine="480" w:firstLineChars="200"/>
    </w:pPr>
    <w:rPr>
      <w:rFonts w:cs="宋体"/>
      <w:sz w:val="24"/>
      <w:szCs w:val="20"/>
    </w:rPr>
  </w:style>
  <w:style w:type="character" w:customStyle="1" w:styleId="79">
    <w:name w:val="文本 Char"/>
    <w:link w:val="80"/>
    <w:qFormat/>
    <w:locked/>
    <w:uiPriority w:val="99"/>
    <w:rPr>
      <w:rFonts w:eastAsia="宋体"/>
      <w:kern w:val="2"/>
      <w:sz w:val="24"/>
      <w:lang w:val="en-US" w:eastAsia="zh-CN"/>
    </w:rPr>
  </w:style>
  <w:style w:type="paragraph" w:customStyle="1" w:styleId="80">
    <w:name w:val="文本"/>
    <w:basedOn w:val="1"/>
    <w:next w:val="24"/>
    <w:link w:val="79"/>
    <w:qFormat/>
    <w:uiPriority w:val="99"/>
    <w:pPr>
      <w:spacing w:line="360" w:lineRule="auto"/>
      <w:ind w:firstLine="495"/>
    </w:pPr>
    <w:rPr>
      <w:sz w:val="24"/>
      <w:szCs w:val="20"/>
    </w:rPr>
  </w:style>
  <w:style w:type="character" w:customStyle="1" w:styleId="81">
    <w:name w:val="报告表正文 Char Char"/>
    <w:link w:val="82"/>
    <w:qFormat/>
    <w:locked/>
    <w:uiPriority w:val="99"/>
    <w:rPr>
      <w:rFonts w:eastAsia="宋体"/>
      <w:sz w:val="24"/>
      <w:lang w:val="en-US" w:eastAsia="zh-CN"/>
    </w:rPr>
  </w:style>
  <w:style w:type="paragraph" w:customStyle="1" w:styleId="82">
    <w:name w:val="报告表正文"/>
    <w:basedOn w:val="1"/>
    <w:link w:val="81"/>
    <w:qFormat/>
    <w:uiPriority w:val="99"/>
    <w:pPr>
      <w:adjustRightInd w:val="0"/>
      <w:spacing w:line="312" w:lineRule="auto"/>
      <w:ind w:left="113" w:right="113" w:firstLine="482"/>
      <w:jc w:val="left"/>
      <w:textAlignment w:val="baseline"/>
    </w:pPr>
    <w:rPr>
      <w:kern w:val="0"/>
      <w:sz w:val="24"/>
      <w:szCs w:val="20"/>
    </w:rPr>
  </w:style>
  <w:style w:type="character" w:customStyle="1" w:styleId="83">
    <w:name w:val="报告 Char"/>
    <w:link w:val="84"/>
    <w:qFormat/>
    <w:locked/>
    <w:uiPriority w:val="99"/>
    <w:rPr>
      <w:rFonts w:ascii="TimesNewRoman" w:hAnsi="TimesNewRoman" w:eastAsia="宋体"/>
      <w:sz w:val="24"/>
      <w:lang w:val="en-US" w:eastAsia="zh-CN"/>
    </w:rPr>
  </w:style>
  <w:style w:type="paragraph" w:customStyle="1" w:styleId="84">
    <w:name w:val="报告"/>
    <w:basedOn w:val="1"/>
    <w:link w:val="83"/>
    <w:qFormat/>
    <w:uiPriority w:val="99"/>
    <w:pPr>
      <w:adjustRightInd w:val="0"/>
      <w:spacing w:line="360" w:lineRule="auto"/>
      <w:ind w:firstLine="505"/>
      <w:textAlignment w:val="center"/>
    </w:pPr>
    <w:rPr>
      <w:rFonts w:ascii="TimesNewRoman" w:hAnsi="TimesNewRoman"/>
      <w:kern w:val="0"/>
      <w:sz w:val="24"/>
      <w:szCs w:val="20"/>
    </w:rPr>
  </w:style>
  <w:style w:type="character" w:customStyle="1" w:styleId="85">
    <w:name w:val="j0000001"/>
    <w:qFormat/>
    <w:uiPriority w:val="99"/>
    <w:rPr>
      <w:color w:val="6B757F"/>
    </w:rPr>
  </w:style>
  <w:style w:type="character" w:customStyle="1" w:styleId="86">
    <w:name w:val="报告表格 Char"/>
    <w:link w:val="87"/>
    <w:qFormat/>
    <w:locked/>
    <w:uiPriority w:val="99"/>
    <w:rPr>
      <w:rFonts w:eastAsia="宋体"/>
      <w:sz w:val="21"/>
      <w:lang w:val="en-US" w:eastAsia="zh-CN"/>
    </w:rPr>
  </w:style>
  <w:style w:type="paragraph" w:customStyle="1" w:styleId="87">
    <w:name w:val="报告表格"/>
    <w:basedOn w:val="1"/>
    <w:link w:val="86"/>
    <w:qFormat/>
    <w:uiPriority w:val="99"/>
    <w:pPr>
      <w:autoSpaceDE w:val="0"/>
      <w:autoSpaceDN w:val="0"/>
      <w:adjustRightInd w:val="0"/>
      <w:spacing w:before="40" w:after="40"/>
      <w:jc w:val="center"/>
      <w:textAlignment w:val="bottom"/>
    </w:pPr>
    <w:rPr>
      <w:kern w:val="0"/>
      <w:szCs w:val="20"/>
    </w:rPr>
  </w:style>
  <w:style w:type="paragraph" w:customStyle="1" w:styleId="88">
    <w:name w:val="xl38"/>
    <w:basedOn w:val="1"/>
    <w:qFormat/>
    <w:uiPriority w:val="99"/>
    <w:pPr>
      <w:widowControl/>
      <w:spacing w:before="100" w:beforeAutospacing="1" w:after="100" w:afterAutospacing="1"/>
      <w:jc w:val="center"/>
    </w:pPr>
    <w:rPr>
      <w:rFonts w:ascii="Arial Unicode MS" w:hAnsi="Arial Unicode MS"/>
      <w:kern w:val="0"/>
      <w:sz w:val="18"/>
      <w:szCs w:val="20"/>
    </w:rPr>
  </w:style>
  <w:style w:type="paragraph" w:customStyle="1" w:styleId="89">
    <w:name w:val="表名"/>
    <w:basedOn w:val="1"/>
    <w:next w:val="1"/>
    <w:qFormat/>
    <w:uiPriority w:val="99"/>
    <w:pPr>
      <w:tabs>
        <w:tab w:val="left" w:pos="1350"/>
      </w:tabs>
      <w:autoSpaceDE w:val="0"/>
      <w:autoSpaceDN w:val="0"/>
      <w:adjustRightInd w:val="0"/>
      <w:snapToGrid w:val="0"/>
      <w:spacing w:line="440" w:lineRule="exact"/>
      <w:jc w:val="center"/>
    </w:pPr>
    <w:rPr>
      <w:rFonts w:hAnsi="宋体"/>
      <w:b/>
      <w:bCs/>
      <w:kern w:val="10"/>
      <w:sz w:val="24"/>
    </w:rPr>
  </w:style>
  <w:style w:type="paragraph" w:customStyle="1" w:styleId="90">
    <w:name w:val="表"/>
    <w:basedOn w:val="1"/>
    <w:qFormat/>
    <w:uiPriority w:val="0"/>
    <w:pPr>
      <w:spacing w:line="240" w:lineRule="exact"/>
    </w:pPr>
    <w:rPr>
      <w:rFonts w:ascii="仿宋_GB2312" w:hAnsi="宋体" w:eastAsia="仿宋_GB2312"/>
      <w:sz w:val="18"/>
      <w:szCs w:val="18"/>
    </w:rPr>
  </w:style>
  <w:style w:type="paragraph" w:customStyle="1" w:styleId="91">
    <w:name w:val="Default"/>
    <w:uiPriority w:val="99"/>
    <w:pPr>
      <w:widowControl w:val="0"/>
      <w:autoSpaceDE w:val="0"/>
      <w:autoSpaceDN w:val="0"/>
      <w:adjustRightInd w:val="0"/>
    </w:pPr>
    <w:rPr>
      <w:rFonts w:ascii="宋体" w:hAnsi="Times New Roman" w:eastAsia="宋体" w:cs="Times New Roman"/>
      <w:lang w:val="en-US" w:eastAsia="zh-CN" w:bidi="ar-SA"/>
    </w:rPr>
  </w:style>
  <w:style w:type="paragraph" w:customStyle="1" w:styleId="92">
    <w:name w:val="样式2新"/>
    <w:basedOn w:val="5"/>
    <w:next w:val="93"/>
    <w:uiPriority w:val="99"/>
    <w:pPr>
      <w:adjustRightInd w:val="0"/>
      <w:snapToGrid w:val="0"/>
      <w:spacing w:line="240" w:lineRule="auto"/>
      <w:jc w:val="both"/>
    </w:pPr>
    <w:rPr>
      <w:rFonts w:ascii="Times New Roman" w:hAnsi="Times New Roman" w:eastAsia="宋体"/>
      <w:b/>
      <w:bCs w:val="0"/>
      <w:sz w:val="32"/>
      <w:szCs w:val="20"/>
    </w:rPr>
  </w:style>
  <w:style w:type="paragraph" w:customStyle="1" w:styleId="93">
    <w:name w:val="样式3新"/>
    <w:basedOn w:val="6"/>
    <w:next w:val="1"/>
    <w:uiPriority w:val="99"/>
    <w:pPr>
      <w:adjustRightInd w:val="0"/>
      <w:snapToGrid w:val="0"/>
    </w:pPr>
    <w:rPr>
      <w:bCs w:val="0"/>
      <w:sz w:val="30"/>
      <w:szCs w:val="20"/>
    </w:rPr>
  </w:style>
  <w:style w:type="paragraph" w:customStyle="1" w:styleId="94">
    <w:name w:val="表格标题"/>
    <w:basedOn w:val="1"/>
    <w:uiPriority w:val="99"/>
    <w:pPr>
      <w:tabs>
        <w:tab w:val="left" w:pos="0"/>
        <w:tab w:val="center" w:pos="4393"/>
        <w:tab w:val="left" w:pos="5586"/>
      </w:tabs>
      <w:spacing w:line="360" w:lineRule="auto"/>
      <w:ind w:right="395" w:rightChars="188"/>
      <w:jc w:val="center"/>
    </w:pPr>
    <w:rPr>
      <w:rFonts w:ascii="黑体" w:hAnsi="宋体" w:eastAsia="黑体"/>
      <w:bCs/>
      <w:sz w:val="24"/>
    </w:rPr>
  </w:style>
  <w:style w:type="paragraph" w:customStyle="1" w:styleId="95">
    <w:name w:val="Char Char Char Char"/>
    <w:basedOn w:val="1"/>
    <w:qFormat/>
    <w:uiPriority w:val="99"/>
    <w:rPr>
      <w:szCs w:val="20"/>
    </w:rPr>
  </w:style>
  <w:style w:type="paragraph" w:customStyle="1" w:styleId="96">
    <w:name w:val="Char4 Char Char Char Char Char Char1"/>
    <w:basedOn w:val="1"/>
    <w:qFormat/>
    <w:uiPriority w:val="99"/>
    <w:pPr>
      <w:spacing w:line="360" w:lineRule="auto"/>
      <w:ind w:firstLine="200" w:firstLineChars="200"/>
    </w:pPr>
    <w:rPr>
      <w:rFonts w:ascii="宋体" w:hAnsi="宋体" w:cs="宋体"/>
      <w:sz w:val="24"/>
    </w:rPr>
  </w:style>
  <w:style w:type="paragraph" w:customStyle="1" w:styleId="97">
    <w:name w:val="xl31"/>
    <w:basedOn w:val="1"/>
    <w:uiPriority w:val="99"/>
    <w:pPr>
      <w:widowControl/>
      <w:pBdr>
        <w:bottom w:val="single" w:color="auto" w:sz="4" w:space="0"/>
        <w:right w:val="single" w:color="auto" w:sz="4" w:space="0"/>
      </w:pBdr>
      <w:spacing w:before="100" w:beforeAutospacing="1" w:after="100" w:afterAutospacing="1"/>
      <w:jc w:val="center"/>
    </w:pPr>
    <w:rPr>
      <w:kern w:val="0"/>
      <w:szCs w:val="20"/>
    </w:rPr>
  </w:style>
  <w:style w:type="paragraph" w:customStyle="1" w:styleId="98">
    <w:name w:val="char"/>
    <w:basedOn w:val="1"/>
    <w:uiPriority w:val="99"/>
    <w:pPr>
      <w:widowControl/>
      <w:spacing w:after="160" w:line="240" w:lineRule="exact"/>
      <w:jc w:val="left"/>
    </w:pPr>
    <w:rPr>
      <w:rFonts w:ascii="Verdana" w:hAnsi="Verdana" w:eastAsia="仿宋_GB2312" w:cs="”“Times New Roman”“"/>
      <w:kern w:val="0"/>
      <w:sz w:val="24"/>
      <w:lang w:eastAsia="en-US"/>
    </w:rPr>
  </w:style>
  <w:style w:type="paragraph" w:customStyle="1" w:styleId="99">
    <w:name w:val="表内式样"/>
    <w:qFormat/>
    <w:uiPriority w:val="99"/>
    <w:pPr>
      <w:widowControl w:val="0"/>
      <w:spacing w:line="360" w:lineRule="exact"/>
      <w:jc w:val="center"/>
    </w:pPr>
    <w:rPr>
      <w:rFonts w:ascii="宋体" w:hAnsi="宋体" w:eastAsia="宋体" w:cs="Times New Roman"/>
      <w:kern w:val="2"/>
      <w:sz w:val="21"/>
      <w:szCs w:val="24"/>
      <w:lang w:val="en-US" w:eastAsia="zh-CN" w:bidi="ar-SA"/>
    </w:rPr>
  </w:style>
  <w:style w:type="paragraph" w:customStyle="1" w:styleId="100">
    <w:name w:val="五级无标题条"/>
    <w:basedOn w:val="1"/>
    <w:qFormat/>
    <w:uiPriority w:val="99"/>
    <w:pPr>
      <w:tabs>
        <w:tab w:val="left" w:pos="2520"/>
      </w:tabs>
      <w:ind w:left="2520" w:hanging="420"/>
    </w:pPr>
  </w:style>
  <w:style w:type="paragraph" w:customStyle="1" w:styleId="101">
    <w:name w:val="表格文字"/>
    <w:basedOn w:val="1"/>
    <w:link w:val="110"/>
    <w:uiPriority w:val="99"/>
    <w:pPr>
      <w:spacing w:line="400" w:lineRule="exact"/>
      <w:jc w:val="center"/>
    </w:pPr>
    <w:rPr>
      <w:color w:val="0000FF"/>
      <w:spacing w:val="4"/>
      <w:szCs w:val="21"/>
    </w:rPr>
  </w:style>
  <w:style w:type="paragraph" w:customStyle="1" w:styleId="102">
    <w:name w:val="8--"/>
    <w:basedOn w:val="1"/>
    <w:uiPriority w:val="99"/>
    <w:pPr>
      <w:adjustRightInd w:val="0"/>
      <w:spacing w:line="360" w:lineRule="atLeast"/>
      <w:jc w:val="left"/>
      <w:textAlignment w:val="baseline"/>
    </w:pPr>
    <w:rPr>
      <w:kern w:val="0"/>
      <w:sz w:val="24"/>
      <w:szCs w:val="20"/>
    </w:rPr>
  </w:style>
  <w:style w:type="paragraph" w:customStyle="1" w:styleId="103">
    <w:name w:val="Char"/>
    <w:basedOn w:val="1"/>
    <w:uiPriority w:val="99"/>
  </w:style>
  <w:style w:type="paragraph" w:customStyle="1" w:styleId="104">
    <w:name w:val="reader-word-layer reader-word-s1-6"/>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5">
    <w:name w:val="Char Char Char Char1"/>
    <w:basedOn w:val="1"/>
    <w:uiPriority w:val="99"/>
    <w:pPr>
      <w:widowControl/>
      <w:adjustRightInd w:val="0"/>
      <w:spacing w:after="160" w:line="240" w:lineRule="exact"/>
      <w:jc w:val="left"/>
      <w:textAlignment w:val="baseline"/>
    </w:pPr>
  </w:style>
  <w:style w:type="paragraph" w:customStyle="1" w:styleId="106">
    <w:name w:val="reader-word-layer reader-word-s4-9"/>
    <w:basedOn w:val="1"/>
    <w:uiPriority w:val="99"/>
    <w:pPr>
      <w:widowControl/>
      <w:spacing w:before="100" w:beforeAutospacing="1" w:after="100" w:afterAutospacing="1"/>
      <w:jc w:val="left"/>
    </w:pPr>
    <w:rPr>
      <w:rFonts w:ascii="宋体" w:hAnsi="宋体" w:cs="宋体"/>
      <w:kern w:val="0"/>
      <w:sz w:val="24"/>
    </w:rPr>
  </w:style>
  <w:style w:type="paragraph" w:customStyle="1" w:styleId="107">
    <w:name w:val="表格文字2"/>
    <w:basedOn w:val="1"/>
    <w:uiPriority w:val="99"/>
    <w:pPr>
      <w:adjustRightInd w:val="0"/>
      <w:spacing w:before="60"/>
      <w:textAlignment w:val="baseline"/>
    </w:pPr>
    <w:rPr>
      <w:kern w:val="0"/>
      <w:szCs w:val="20"/>
    </w:rPr>
  </w:style>
  <w:style w:type="paragraph" w:customStyle="1" w:styleId="108">
    <w:name w:val="标题新"/>
    <w:basedOn w:val="1"/>
    <w:uiPriority w:val="99"/>
    <w:pPr>
      <w:adjustRightInd w:val="0"/>
      <w:snapToGrid w:val="0"/>
      <w:spacing w:line="420" w:lineRule="exact"/>
      <w:jc w:val="center"/>
    </w:pPr>
    <w:rPr>
      <w:rFonts w:eastAsia="黑体"/>
      <w:sz w:val="24"/>
      <w:szCs w:val="20"/>
    </w:rPr>
  </w:style>
  <w:style w:type="paragraph" w:customStyle="1" w:styleId="109">
    <w:name w:val="样式2"/>
    <w:basedOn w:val="1"/>
    <w:semiHidden/>
    <w:uiPriority w:val="99"/>
    <w:pPr>
      <w:spacing w:line="360" w:lineRule="auto"/>
      <w:ind w:firstLine="480" w:firstLineChars="200"/>
    </w:pPr>
    <w:rPr>
      <w:rFonts w:ascii="宋体" w:hAnsi="宋体" w:eastAsia="方正宋三简体"/>
      <w:sz w:val="24"/>
    </w:rPr>
  </w:style>
  <w:style w:type="character" w:customStyle="1" w:styleId="110">
    <w:name w:val="表格文字 Char"/>
    <w:link w:val="101"/>
    <w:locked/>
    <w:uiPriority w:val="99"/>
    <w:rPr>
      <w:rFonts w:cs="Times New Roman"/>
      <w:color w:val="0000FF"/>
      <w:spacing w:val="4"/>
      <w:kern w:val="2"/>
      <w:sz w:val="21"/>
      <w:szCs w:val="21"/>
    </w:rPr>
  </w:style>
  <w:style w:type="character" w:customStyle="1" w:styleId="111">
    <w:name w:val="Char Char15"/>
    <w:semiHidden/>
    <w:uiPriority w:val="99"/>
    <w:rPr>
      <w:rFonts w:eastAsia="宋体" w:cs="Times New Roman"/>
      <w:kern w:val="2"/>
      <w:sz w:val="24"/>
      <w:szCs w:val="24"/>
      <w:lang w:val="en-US" w:eastAsia="zh-CN" w:bidi="ar-SA"/>
    </w:rPr>
  </w:style>
  <w:style w:type="paragraph" w:customStyle="1" w:styleId="112">
    <w:name w:val="列出段落1"/>
    <w:basedOn w:val="1"/>
    <w:uiPriority w:val="99"/>
    <w:pPr>
      <w:ind w:firstLine="420" w:firstLineChars="200"/>
    </w:pPr>
  </w:style>
  <w:style w:type="character" w:customStyle="1" w:styleId="113">
    <w:name w:val="占位符文本1"/>
    <w:uiPriority w:val="99"/>
    <w:rPr>
      <w:rFonts w:cs="Times New Roman"/>
      <w:color w:val="808080"/>
    </w:rPr>
  </w:style>
  <w:style w:type="paragraph" w:customStyle="1" w:styleId="114">
    <w:name w:val="Char Char Char Char Char Char1 Char"/>
    <w:basedOn w:val="1"/>
    <w:qFormat/>
    <w:uiPriority w:val="99"/>
    <w:pPr>
      <w:widowControl/>
      <w:spacing w:after="160" w:line="240" w:lineRule="exact"/>
      <w:jc w:val="left"/>
    </w:pPr>
  </w:style>
  <w:style w:type="paragraph" w:customStyle="1" w:styleId="115">
    <w:name w:val="Char Char Char1 Char Char Char Char Char Char Char Char Char Char Char Char Char"/>
    <w:basedOn w:val="1"/>
    <w:qFormat/>
    <w:uiPriority w:val="99"/>
    <w:rPr>
      <w:sz w:val="24"/>
    </w:rPr>
  </w:style>
  <w:style w:type="paragraph" w:customStyle="1" w:styleId="116">
    <w:name w:val="样式 报告表正文 + 首行缩进:  2 字符 行距: 1.5 倍行距"/>
    <w:basedOn w:val="1"/>
    <w:uiPriority w:val="99"/>
    <w:pPr>
      <w:adjustRightInd w:val="0"/>
      <w:spacing w:line="360" w:lineRule="auto"/>
      <w:ind w:left="113" w:right="113" w:firstLine="480" w:firstLineChars="200"/>
    </w:pPr>
    <w:rPr>
      <w:kern w:val="0"/>
      <w:sz w:val="24"/>
      <w:szCs w:val="20"/>
    </w:rPr>
  </w:style>
  <w:style w:type="paragraph" w:customStyle="1" w:styleId="117">
    <w:name w:val="样式 正文首行缩进 2 + 首行缩进:  2 字符"/>
    <w:basedOn w:val="1"/>
    <w:uiPriority w:val="99"/>
    <w:pPr>
      <w:widowControl/>
      <w:spacing w:line="360" w:lineRule="auto"/>
      <w:ind w:firstLine="480" w:firstLineChars="200"/>
      <w:jc w:val="left"/>
    </w:pPr>
    <w:rPr>
      <w:rFonts w:cs="宋体"/>
      <w:sz w:val="24"/>
      <w:szCs w:val="20"/>
    </w:rPr>
  </w:style>
  <w:style w:type="character" w:customStyle="1" w:styleId="118">
    <w:name w:val="正文缩进 Char"/>
    <w:link w:val="14"/>
    <w:locked/>
    <w:uiPriority w:val="99"/>
    <w:rPr>
      <w:rFonts w:cs="Times New Roman"/>
      <w:kern w:val="2"/>
      <w:sz w:val="21"/>
    </w:rPr>
  </w:style>
  <w:style w:type="paragraph" w:customStyle="1" w:styleId="119">
    <w:name w:val="列出段落2"/>
    <w:basedOn w:val="1"/>
    <w:uiPriority w:val="99"/>
    <w:pPr>
      <w:ind w:firstLine="420" w:firstLineChars="200"/>
    </w:pPr>
  </w:style>
  <w:style w:type="paragraph" w:customStyle="1" w:styleId="120">
    <w:name w:val="正文-欣欣"/>
    <w:basedOn w:val="1"/>
    <w:uiPriority w:val="99"/>
    <w:pPr>
      <w:adjustRightInd w:val="0"/>
      <w:spacing w:line="360" w:lineRule="auto"/>
      <w:ind w:firstLine="200" w:firstLineChars="200"/>
    </w:pPr>
    <w:rPr>
      <w:rFonts w:cs="Courier New"/>
      <w:sz w:val="24"/>
      <w:szCs w:val="21"/>
    </w:rPr>
  </w:style>
  <w:style w:type="paragraph" w:customStyle="1" w:styleId="121">
    <w:name w:val="表格内容"/>
    <w:basedOn w:val="1"/>
    <w:next w:val="1"/>
    <w:link w:val="122"/>
    <w:qFormat/>
    <w:uiPriority w:val="99"/>
    <w:pPr>
      <w:adjustRightInd w:val="0"/>
      <w:jc w:val="center"/>
    </w:pPr>
    <w:rPr>
      <w:szCs w:val="21"/>
    </w:rPr>
  </w:style>
  <w:style w:type="character" w:customStyle="1" w:styleId="122">
    <w:name w:val="表格内容 Char"/>
    <w:link w:val="121"/>
    <w:qFormat/>
    <w:locked/>
    <w:uiPriority w:val="99"/>
    <w:rPr>
      <w:kern w:val="2"/>
      <w:sz w:val="21"/>
    </w:rPr>
  </w:style>
  <w:style w:type="paragraph" w:customStyle="1" w:styleId="123">
    <w:name w:val="表格标题-3"/>
    <w:basedOn w:val="1"/>
    <w:next w:val="1"/>
    <w:qFormat/>
    <w:uiPriority w:val="99"/>
    <w:pPr>
      <w:numPr>
        <w:ilvl w:val="0"/>
        <w:numId w:val="1"/>
      </w:numPr>
      <w:adjustRightInd w:val="0"/>
      <w:snapToGrid w:val="0"/>
      <w:spacing w:line="360" w:lineRule="auto"/>
      <w:ind w:left="0" w:firstLine="0"/>
      <w:jc w:val="center"/>
    </w:pPr>
    <w:rPr>
      <w:rFonts w:eastAsia="黑体"/>
      <w:sz w:val="24"/>
    </w:rPr>
  </w:style>
  <w:style w:type="paragraph" w:customStyle="1" w:styleId="124">
    <w:name w:val="正文2"/>
    <w:basedOn w:val="1"/>
    <w:qFormat/>
    <w:uiPriority w:val="99"/>
    <w:pPr>
      <w:snapToGrid w:val="0"/>
      <w:spacing w:line="500" w:lineRule="atLeast"/>
      <w:ind w:firstLine="567"/>
    </w:pPr>
    <w:rPr>
      <w:sz w:val="24"/>
      <w:szCs w:val="20"/>
    </w:rPr>
  </w:style>
  <w:style w:type="paragraph" w:customStyle="1" w:styleId="125">
    <w:name w:val="表格首行"/>
    <w:basedOn w:val="1"/>
    <w:next w:val="1"/>
    <w:qFormat/>
    <w:uiPriority w:val="99"/>
    <w:pPr>
      <w:adjustRightInd w:val="0"/>
      <w:jc w:val="center"/>
    </w:pPr>
    <w:rPr>
      <w:rFonts w:cs="宋体"/>
      <w:b/>
      <w:szCs w:val="20"/>
    </w:rPr>
  </w:style>
  <w:style w:type="paragraph" w:customStyle="1" w:styleId="126">
    <w:name w:val="表格标题-1"/>
    <w:basedOn w:val="1"/>
    <w:next w:val="1"/>
    <w:qFormat/>
    <w:uiPriority w:val="99"/>
    <w:pPr>
      <w:numPr>
        <w:ilvl w:val="0"/>
        <w:numId w:val="2"/>
      </w:numPr>
      <w:adjustRightInd w:val="0"/>
      <w:snapToGrid w:val="0"/>
      <w:spacing w:line="360" w:lineRule="auto"/>
      <w:jc w:val="center"/>
    </w:pPr>
    <w:rPr>
      <w:rFonts w:eastAsia="黑体"/>
      <w:sz w:val="24"/>
    </w:rPr>
  </w:style>
  <w:style w:type="paragraph" w:customStyle="1" w:styleId="127">
    <w:name w:val="正文-蓝色"/>
    <w:basedOn w:val="120"/>
    <w:qFormat/>
    <w:uiPriority w:val="99"/>
    <w:pPr>
      <w:ind w:firstLine="480"/>
    </w:pPr>
    <w:rPr>
      <w:color w:val="0000FF"/>
    </w:rPr>
  </w:style>
  <w:style w:type="paragraph" w:customStyle="1" w:styleId="128">
    <w:name w:val="发文单位"/>
    <w:basedOn w:val="1"/>
    <w:qFormat/>
    <w:uiPriority w:val="99"/>
    <w:pPr>
      <w:spacing w:line="600" w:lineRule="exact"/>
      <w:jc w:val="center"/>
    </w:pPr>
    <w:rPr>
      <w:rFonts w:ascii="方正小标宋_GBK" w:eastAsia="方正小标宋_GBK" w:cs="宋体"/>
      <w:sz w:val="44"/>
    </w:rPr>
  </w:style>
  <w:style w:type="paragraph" w:customStyle="1" w:styleId="129">
    <w:name w:val="样式 楷体_GB2312 首行缩进:  0.99 厘米"/>
    <w:basedOn w:val="1"/>
    <w:qFormat/>
    <w:uiPriority w:val="0"/>
    <w:pPr>
      <w:ind w:firstLine="560"/>
    </w:pPr>
    <w:rPr>
      <w:rFonts w:ascii="楷体_GB2312" w:eastAsia="楷体_GB2312" w:cs="宋体"/>
      <w:sz w:val="28"/>
      <w:szCs w:val="20"/>
    </w:rPr>
  </w:style>
  <w:style w:type="paragraph" w:styleId="130">
    <w:name w:val="List Paragraph"/>
    <w:basedOn w:val="1"/>
    <w:qFormat/>
    <w:uiPriority w:val="1"/>
    <w:pPr>
      <w:autoSpaceDE w:val="0"/>
      <w:autoSpaceDN w:val="0"/>
      <w:spacing w:before="135"/>
      <w:ind w:left="514" w:hanging="396"/>
      <w:jc w:val="left"/>
    </w:pPr>
    <w:rPr>
      <w:rFonts w:ascii="宋体" w:hAnsi="宋体" w:cs="宋体"/>
      <w:kern w:val="0"/>
      <w:sz w:val="22"/>
      <w:szCs w:val="22"/>
      <w:lang w:eastAsia="en-US"/>
    </w:rPr>
  </w:style>
  <w:style w:type="table" w:customStyle="1" w:styleId="131">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32">
    <w:name w:val="Table Paragraph"/>
    <w:basedOn w:val="1"/>
    <w:qFormat/>
    <w:uiPriority w:val="1"/>
    <w:pPr>
      <w:autoSpaceDE w:val="0"/>
      <w:autoSpaceDN w:val="0"/>
      <w:jc w:val="center"/>
    </w:pPr>
    <w:rPr>
      <w:rFonts w:ascii="宋体" w:hAnsi="宋体" w:cs="宋体"/>
      <w:kern w:val="0"/>
      <w:sz w:val="22"/>
      <w:szCs w:val="22"/>
      <w:lang w:eastAsia="en-US"/>
    </w:rPr>
  </w:style>
  <w:style w:type="table" w:customStyle="1" w:styleId="133">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34">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35">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36">
    <w:name w:val="Table Normal4"/>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37">
    <w:name w:val="未处理的提及1"/>
    <w:semiHidden/>
    <w:unhideWhenUsed/>
    <w:qFormat/>
    <w:uiPriority w:val="99"/>
    <w:rPr>
      <w:color w:val="605E5C"/>
      <w:shd w:val="clear" w:color="auto" w:fill="E1DFDD"/>
    </w:rPr>
  </w:style>
  <w:style w:type="paragraph" w:customStyle="1" w:styleId="138">
    <w:name w:val="引用3"/>
    <w:basedOn w:val="1"/>
    <w:next w:val="1"/>
    <w:qFormat/>
    <w:uiPriority w:val="29"/>
    <w:pPr>
      <w:spacing w:line="480" w:lineRule="exact"/>
      <w:ind w:firstLine="200" w:firstLineChars="200"/>
      <w:jc w:val="center"/>
    </w:pPr>
    <w:rPr>
      <w:rFonts w:ascii="黑体" w:hAnsi="黑体" w:eastAsia="黑体"/>
      <w:iCs/>
      <w:color w:val="000000"/>
      <w:sz w:val="24"/>
      <w:szCs w:val="22"/>
    </w:rPr>
  </w:style>
  <w:style w:type="character" w:customStyle="1" w:styleId="139">
    <w:name w:val="_Style 1"/>
    <w:qFormat/>
    <w:uiPriority w:val="0"/>
    <w:rPr>
      <w:rFonts w:ascii="Times New Roman" w:hAnsi="Times New Roman" w:eastAsia="宋体"/>
      <w:i/>
      <w:iCs/>
      <w:color w:val="000000"/>
      <w:sz w:val="24"/>
    </w:rPr>
  </w:style>
  <w:style w:type="paragraph" w:customStyle="1" w:styleId="140">
    <w:name w:val="无间隔4"/>
    <w:qFormat/>
    <w:uiPriority w:val="0"/>
    <w:pPr>
      <w:widowControl w:val="0"/>
      <w:spacing w:line="260" w:lineRule="exact"/>
      <w:jc w:val="center"/>
    </w:pPr>
    <w:rPr>
      <w:rFonts w:ascii="Times New Roman" w:hAnsi="Times New Roman" w:eastAsia="宋体" w:cs="Times New Roman"/>
      <w:kern w:val="2"/>
      <w:sz w:val="18"/>
      <w:szCs w:val="22"/>
      <w:lang w:val="en-US" w:eastAsia="zh-CN" w:bidi="ar-SA"/>
    </w:rPr>
  </w:style>
  <w:style w:type="paragraph" w:customStyle="1" w:styleId="141">
    <w:name w:val="_Style 2"/>
    <w:qFormat/>
    <w:uiPriority w:val="1"/>
    <w:pPr>
      <w:widowControl w:val="0"/>
      <w:spacing w:line="240" w:lineRule="exact"/>
      <w:jc w:val="center"/>
    </w:pPr>
    <w:rPr>
      <w:rFonts w:ascii="Times New Roman" w:hAnsi="Times New Roman" w:eastAsia="宋体" w:cs="Times New Roman"/>
      <w:kern w:val="2"/>
      <w:sz w:val="18"/>
      <w:szCs w:val="24"/>
      <w:lang w:val="en-US" w:eastAsia="zh-CN" w:bidi="ar-SA"/>
    </w:rPr>
  </w:style>
  <w:style w:type="paragraph" w:customStyle="1" w:styleId="142">
    <w:name w:val="引用1"/>
    <w:basedOn w:val="1"/>
    <w:next w:val="1"/>
    <w:qFormat/>
    <w:uiPriority w:val="29"/>
    <w:pPr>
      <w:spacing w:beforeLines="10"/>
      <w:ind w:firstLine="0" w:firstLineChars="0"/>
      <w:jc w:val="center"/>
    </w:pPr>
    <w:rPr>
      <w:rFonts w:ascii="黑体" w:hAnsi="黑体" w:eastAsia="黑体"/>
      <w:iCs/>
      <w:color w:val="000000"/>
      <w:sz w:val="24"/>
    </w:rPr>
  </w:style>
  <w:style w:type="paragraph" w:customStyle="1" w:styleId="143">
    <w:name w:val="无间隔2"/>
    <w:qFormat/>
    <w:uiPriority w:val="1"/>
    <w:pPr>
      <w:widowControl w:val="0"/>
      <w:spacing w:line="280" w:lineRule="exact"/>
      <w:jc w:val="center"/>
    </w:pPr>
    <w:rPr>
      <w:rFonts w:ascii="Times New Roman" w:hAnsi="Times New Roman" w:eastAsia="宋体" w:cs="Times New Roman"/>
      <w:kern w:val="2"/>
      <w:sz w:val="18"/>
      <w:szCs w:val="24"/>
      <w:lang w:val="en-US" w:eastAsia="zh-CN" w:bidi="ar-SA"/>
    </w:rPr>
  </w:style>
  <w:style w:type="character" w:customStyle="1" w:styleId="144">
    <w:name w:val="Subtle Emphasis"/>
    <w:qFormat/>
    <w:uiPriority w:val="0"/>
    <w:rPr>
      <w:rFonts w:ascii="Times New Roman" w:hAnsi="Times New Roman" w:eastAsia="宋体"/>
      <w:i/>
      <w:iCs/>
      <w:color w:val="000000"/>
      <w:sz w:val="24"/>
    </w:rPr>
  </w:style>
  <w:style w:type="character" w:customStyle="1" w:styleId="145">
    <w:name w:val="不明显强调2"/>
    <w:qFormat/>
    <w:uiPriority w:val="0"/>
    <w:rPr>
      <w:rFonts w:ascii="Times New Roman" w:hAnsi="Times New Roman" w:eastAsia="宋体"/>
      <w:i/>
      <w:iCs/>
      <w:color w:val="000000"/>
      <w:sz w:val="24"/>
    </w:rPr>
  </w:style>
  <w:style w:type="paragraph" w:styleId="146">
    <w:name w:val="Quote"/>
    <w:basedOn w:val="1"/>
    <w:next w:val="1"/>
    <w:qFormat/>
    <w:uiPriority w:val="29"/>
    <w:pPr>
      <w:ind w:firstLine="0" w:firstLineChars="0"/>
      <w:jc w:val="center"/>
    </w:pPr>
    <w:rPr>
      <w:rFonts w:ascii="黑体" w:hAnsi="黑体" w:eastAsia="黑体"/>
      <w:iCs/>
      <w:color w:val="000000"/>
      <w:sz w:val="24"/>
    </w:rPr>
  </w:style>
  <w:style w:type="paragraph" w:styleId="147">
    <w:name w:val="No Spacing"/>
    <w:qFormat/>
    <w:uiPriority w:val="1"/>
    <w:pPr>
      <w:widowControl w:val="0"/>
      <w:spacing w:line="240" w:lineRule="exact"/>
      <w:jc w:val="center"/>
    </w:pPr>
    <w:rPr>
      <w:rFonts w:ascii="Times New Roman" w:hAnsi="Times New Roman" w:eastAsia="宋体" w:cs="Times New Roman"/>
      <w:kern w:val="2"/>
      <w:sz w:val="18"/>
      <w:szCs w:val="24"/>
      <w:lang w:val="en-US" w:eastAsia="zh-CN" w:bidi="ar-SA"/>
    </w:rPr>
  </w:style>
  <w:style w:type="character" w:customStyle="1" w:styleId="148">
    <w:name w:val="_Style 0"/>
    <w:qFormat/>
    <w:uiPriority w:val="0"/>
    <w:rPr>
      <w:rFonts w:ascii="Times New Roman" w:hAnsi="Times New Roman" w:eastAsia="宋体"/>
      <w:i/>
      <w:iCs/>
      <w:color w:val="000000"/>
      <w:sz w:val="24"/>
    </w:rPr>
  </w:style>
  <w:style w:type="character" w:customStyle="1" w:styleId="149">
    <w:name w:val="明显强调1"/>
    <w:qFormat/>
    <w:uiPriority w:val="21"/>
    <w:rPr>
      <w:rFonts w:ascii="Times New Roman" w:hAnsi="Times New Roman" w:eastAsia="宋体"/>
      <w:bCs/>
      <w:iCs/>
      <w:color w:val="auto"/>
      <w:sz w:val="24"/>
    </w:rPr>
  </w:style>
  <w:style w:type="paragraph" w:customStyle="1" w:styleId="150">
    <w:name w:val="无间隔8"/>
    <w:qFormat/>
    <w:uiPriority w:val="1"/>
    <w:pPr>
      <w:widowControl w:val="0"/>
      <w:spacing w:line="240" w:lineRule="exact"/>
      <w:jc w:val="center"/>
    </w:pPr>
    <w:rPr>
      <w:rFonts w:ascii="Times New Roman" w:hAnsi="Times New Roman" w:eastAsia="宋体" w:cs="Times New Roman"/>
      <w:kern w:val="2"/>
      <w:sz w:val="18"/>
      <w:szCs w:val="24"/>
      <w:lang w:val="en-US" w:eastAsia="zh-CN" w:bidi="ar-SA"/>
    </w:rPr>
  </w:style>
  <w:style w:type="paragraph" w:customStyle="1" w:styleId="151">
    <w:name w:val="无间隔9"/>
    <w:basedOn w:val="1"/>
    <w:qFormat/>
    <w:uiPriority w:val="0"/>
    <w:pPr>
      <w:spacing w:line="280" w:lineRule="exact"/>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25.emf"/><Relationship Id="rId43" Type="http://schemas.openxmlformats.org/officeDocument/2006/relationships/oleObject" Target="embeddings/oleObject13.bin"/><Relationship Id="rId42" Type="http://schemas.openxmlformats.org/officeDocument/2006/relationships/image" Target="media/image24.emf"/><Relationship Id="rId41" Type="http://schemas.openxmlformats.org/officeDocument/2006/relationships/oleObject" Target="embeddings/oleObject12.bin"/><Relationship Id="rId40" Type="http://schemas.openxmlformats.org/officeDocument/2006/relationships/image" Target="media/image23.e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22.wmf"/><Relationship Id="rId37" Type="http://schemas.openxmlformats.org/officeDocument/2006/relationships/oleObject" Target="embeddings/oleObject10.bin"/><Relationship Id="rId36" Type="http://schemas.openxmlformats.org/officeDocument/2006/relationships/image" Target="media/image21.emf"/><Relationship Id="rId35" Type="http://schemas.openxmlformats.org/officeDocument/2006/relationships/oleObject" Target="embeddings/oleObject9.bin"/><Relationship Id="rId34" Type="http://schemas.openxmlformats.org/officeDocument/2006/relationships/image" Target="media/image20.wmf"/><Relationship Id="rId33" Type="http://schemas.openxmlformats.org/officeDocument/2006/relationships/oleObject" Target="embeddings/oleObject8.bin"/><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e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emf"/><Relationship Id="rId23" Type="http://schemas.openxmlformats.org/officeDocument/2006/relationships/oleObject" Target="embeddings/oleObject3.bin"/><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2.bin"/><Relationship Id="rId14" Type="http://schemas.openxmlformats.org/officeDocument/2006/relationships/image" Target="media/image7.e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000</Company>
  <Pages>52</Pages>
  <Words>28955</Words>
  <Characters>35437</Characters>
  <Lines>129</Lines>
  <Paragraphs>36</Paragraphs>
  <TotalTime>1</TotalTime>
  <ScaleCrop>false</ScaleCrop>
  <LinksUpToDate>false</LinksUpToDate>
  <CharactersWithSpaces>35959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2020-04-07T13:31:00Z</dcterms:created>
  <dc:creator>XZW</dc:creator>
  <cp:lastModifiedBy>环评、水保</cp:lastModifiedBy>
  <cp:lastPrinted>2017-06-14T08:20:00Z</cp:lastPrinted>
  <dcterms:modified xsi:type="dcterms:W3CDTF">2022-10-27T06:08:27Z</dcterms:modified>
  <dc:title>50万只蛋鸡养殖场</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C7D5CB33641D434595DBFB29E7F9285E</vt:lpwstr>
  </property>
</Properties>
</file>